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hint="eastAsia" w:eastAsia="宋体" w:cs="Arial"/>
          <w:b/>
          <w:sz w:val="24"/>
          <w:szCs w:val="24"/>
          <w:lang w:val="en-US" w:eastAsia="zh-CN"/>
        </w:rPr>
        <w:t xml:space="preserve">                           </w:t>
      </w:r>
      <w:r>
        <w:rPr>
          <w:rFonts w:hint="eastAsia" w:ascii="Arial" w:hAnsi="Arial" w:cs="Arial"/>
          <w:b/>
          <w:sz w:val="24"/>
          <w:szCs w:val="24"/>
          <w:lang w:val="en-US" w:eastAsia="zh-CN"/>
        </w:rPr>
        <w:t xml:space="preserve"> </w:t>
      </w:r>
      <w:r>
        <w:rPr>
          <w:rFonts w:hint="default" w:ascii="Arial" w:hAnsi="Arial" w:cs="Arial"/>
          <w:b/>
          <w:sz w:val="24"/>
          <w:szCs w:val="24"/>
          <w:lang w:val="en-US" w:eastAsia="zh-CN"/>
        </w:rPr>
        <w:t>R4-23</w:t>
      </w:r>
      <w:r>
        <w:rPr>
          <w:rFonts w:hint="eastAsia" w:ascii="Arial" w:hAnsi="Arial" w:cs="Arial"/>
          <w:b/>
          <w:sz w:val="24"/>
          <w:szCs w:val="24"/>
          <w:lang w:val="en-US" w:eastAsia="zh-CN"/>
        </w:rPr>
        <w:t>08170</w:t>
      </w:r>
      <w:bookmarkStart w:id="27" w:name="_GoBack"/>
      <w:bookmarkEnd w:id="27"/>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Incheon, KR, May 22 – May 26, 2023</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0" w:name="OLE_LINK12"/>
      <w:r>
        <w:rPr>
          <w:rFonts w:hint="eastAsia" w:ascii="Arial" w:hAnsi="Arial"/>
          <w:b/>
          <w:color w:val="auto"/>
          <w:sz w:val="24"/>
          <w:highlight w:val="none"/>
          <w:lang w:val="en-US" w:eastAsia="zh-CN"/>
        </w:rPr>
        <w:t>O</w:t>
      </w:r>
      <w:r>
        <w:rPr>
          <w:rStyle w:val="60"/>
          <w:rFonts w:hint="eastAsia"/>
          <w:b/>
          <w:color w:val="auto"/>
          <w:highlight w:val="none"/>
          <w:lang w:val="en-US" w:eastAsia="zh-CN"/>
        </w:rPr>
        <w:t>n 4Rx low band (&lt;1GHz) for handheld UE</w:t>
      </w:r>
    </w:p>
    <w:bookmarkEnd w:id="0"/>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7.29.2</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 #98 meeting, a new WID for low NR band enhancement WID, including 4Rx low band (&lt;1GHz) for handheld UE and 3Tx for inter-band UL CA and EN-DC, was approved in [1], in which for the 4Rx low band part:</w:t>
      </w:r>
    </w:p>
    <w:p>
      <w:pPr>
        <w:keepNext/>
        <w:keepLines/>
        <w:pageBreakBefore w:val="0"/>
        <w:widowControl/>
        <w:numPr>
          <w:ilvl w:val="0"/>
          <w:numId w:val="0"/>
        </w:numPr>
        <w:kinsoku/>
        <w:wordWrap/>
        <w:overflowPunct w:val="0"/>
        <w:topLinePunct w:val="0"/>
        <w:autoSpaceDE w:val="0"/>
        <w:autoSpaceDN w:val="0"/>
        <w:bidi w:val="0"/>
        <w:adjustRightInd w:val="0"/>
        <w:snapToGrid/>
        <w:spacing w:beforeLines="-2147483648" w:after="180" w:afterLines="-2147483648" w:line="240" w:lineRule="auto"/>
        <w:ind w:leftChars="0"/>
        <w:jc w:val="left"/>
        <w:textAlignment w:val="baseline"/>
        <w:rPr>
          <w:rFonts w:ascii="Times New Roman" w:hAnsi="Times New Roman" w:eastAsia="等线" w:cs="Times New Roman"/>
          <w:b/>
          <w:i/>
          <w:iCs/>
          <w:color w:val="auto"/>
          <w:kern w:val="0"/>
          <w:sz w:val="20"/>
          <w:lang w:val="en-GB" w:eastAsia="en-GB"/>
        </w:rPr>
      </w:pPr>
      <w:bookmarkStart w:id="1" w:name="_Hlk122105456"/>
      <w:r>
        <w:rPr>
          <w:rFonts w:ascii="Times New Roman" w:hAnsi="Times New Roman" w:eastAsia="等线" w:cs="Times New Roman"/>
          <w:b/>
          <w:i/>
          <w:iCs/>
          <w:color w:val="auto"/>
          <w:kern w:val="0"/>
          <w:sz w:val="20"/>
          <w:lang w:val="en-GB" w:eastAsia="en-GB"/>
        </w:rPr>
        <w:t>Enhancements for 4R</w:t>
      </w:r>
      <w:r>
        <w:rPr>
          <w:rFonts w:hint="eastAsia" w:ascii="Times New Roman" w:hAnsi="Times New Roman" w:eastAsia="等线" w:cs="Times New Roman"/>
          <w:b/>
          <w:i/>
          <w:iCs/>
          <w:color w:val="auto"/>
          <w:kern w:val="0"/>
          <w:sz w:val="20"/>
          <w:lang w:val="en-GB" w:eastAsia="zh-CN"/>
        </w:rPr>
        <w:t>x</w:t>
      </w:r>
      <w:r>
        <w:rPr>
          <w:rFonts w:ascii="Times New Roman" w:hAnsi="Times New Roman" w:eastAsia="等线" w:cs="Times New Roman"/>
          <w:b/>
          <w:i/>
          <w:iCs/>
          <w:color w:val="auto"/>
          <w:kern w:val="0"/>
          <w:sz w:val="20"/>
          <w:lang w:val="en-GB" w:eastAsia="en-GB"/>
        </w:rPr>
        <w:t xml:space="preserve"> at low frequency band </w:t>
      </w:r>
      <w:r>
        <w:rPr>
          <w:rFonts w:hint="eastAsia" w:ascii="Times New Roman" w:hAnsi="Times New Roman" w:eastAsia="等线" w:cs="Times New Roman"/>
          <w:b/>
          <w:i/>
          <w:iCs/>
          <w:color w:val="auto"/>
          <w:kern w:val="0"/>
          <w:sz w:val="20"/>
          <w:lang w:val="en-GB" w:eastAsia="zh-CN"/>
        </w:rPr>
        <w:t>(</w:t>
      </w:r>
      <w:r>
        <w:rPr>
          <w:rFonts w:ascii="Times New Roman" w:hAnsi="Times New Roman" w:eastAsia="等线" w:cs="Times New Roman"/>
          <w:b/>
          <w:i/>
          <w:iCs/>
          <w:color w:val="auto"/>
          <w:kern w:val="0"/>
          <w:sz w:val="20"/>
          <w:lang w:val="en-GB" w:eastAsia="zh-CN"/>
        </w:rPr>
        <w:t>&lt;1GHz)</w:t>
      </w:r>
    </w:p>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 xml:space="preserve">Study </w:t>
      </w:r>
      <w:r>
        <w:rPr>
          <w:rFonts w:ascii="Times New Roman" w:hAnsi="Times New Roman" w:eastAsia="等线" w:cs="Times New Roman"/>
          <w:i/>
          <w:iCs/>
          <w:color w:val="auto"/>
          <w:kern w:val="0"/>
          <w:sz w:val="20"/>
          <w:u w:val="single"/>
          <w:lang w:val="en-GB" w:eastAsia="zh-CN"/>
        </w:rPr>
        <w:t>if feasible</w:t>
      </w:r>
      <w:r>
        <w:rPr>
          <w:rFonts w:ascii="Times New Roman" w:hAnsi="Times New Roman" w:eastAsia="等线" w:cs="Times New Roman"/>
          <w:i/>
          <w:iCs/>
          <w:color w:val="auto"/>
          <w:kern w:val="0"/>
          <w:sz w:val="20"/>
          <w:lang w:val="en-GB" w:eastAsia="zh-CN"/>
        </w:rPr>
        <w:t xml:space="preserve"> Specify requirements for handheld UE with 4Rx antennas including delta R</w:t>
      </w:r>
      <w:r>
        <w:rPr>
          <w:rFonts w:ascii="Times New Roman" w:hAnsi="Times New Roman" w:eastAsia="等线" w:cs="Times New Roman"/>
          <w:i/>
          <w:iCs/>
          <w:color w:val="auto"/>
          <w:kern w:val="0"/>
          <w:sz w:val="20"/>
          <w:vertAlign w:val="subscript"/>
          <w:lang w:val="en-GB" w:eastAsia="zh-CN"/>
        </w:rPr>
        <w:t>IB,4R</w:t>
      </w:r>
      <w:r>
        <w:rPr>
          <w:rFonts w:ascii="Times New Roman" w:hAnsi="Times New Roman" w:eastAsia="等线" w:cs="Times New Roman"/>
          <w:i/>
          <w:iCs/>
          <w:color w:val="auto"/>
          <w:kern w:val="0"/>
          <w:sz w:val="20"/>
          <w:lang w:val="en-GB" w:eastAsia="zh-CN"/>
        </w:rPr>
        <w:t xml:space="preserve"> and </w:t>
      </w:r>
      <w:r>
        <w:rPr>
          <w:rFonts w:ascii="Times New Roman" w:hAnsi="Times New Roman" w:eastAsia="等线" w:cs="Times New Roman"/>
          <w:i/>
          <w:iCs/>
          <w:color w:val="auto"/>
          <w:kern w:val="0"/>
          <w:sz w:val="20"/>
          <w:lang w:val="en-GB" w:eastAsia="en-GB"/>
        </w:rPr>
        <w:t>∆T</w:t>
      </w:r>
      <w:r>
        <w:rPr>
          <w:rFonts w:ascii="Times New Roman" w:hAnsi="Times New Roman" w:eastAsia="等线" w:cs="Times New Roman"/>
          <w:i/>
          <w:iCs/>
          <w:color w:val="auto"/>
          <w:kern w:val="0"/>
          <w:sz w:val="20"/>
          <w:vertAlign w:val="subscript"/>
          <w:lang w:val="en-GB" w:eastAsia="en-GB"/>
        </w:rPr>
        <w:t>RxSRS</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4Rx is optional feature for handheld UE in low frequency bands</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 xml:space="preserve">Signalling impact will be considered </w:t>
      </w:r>
      <w:r>
        <w:rPr>
          <w:rFonts w:hint="eastAsia" w:ascii="Times New Roman" w:hAnsi="Times New Roman" w:eastAsia="等线" w:cs="Times New Roman"/>
          <w:i/>
          <w:iCs/>
          <w:color w:val="auto"/>
          <w:kern w:val="0"/>
          <w:sz w:val="20"/>
          <w:lang w:val="en-GB" w:eastAsia="zh-CN"/>
        </w:rPr>
        <w:t>if</w:t>
      </w:r>
      <w:r>
        <w:rPr>
          <w:rFonts w:ascii="Times New Roman" w:hAnsi="Times New Roman" w:eastAsia="等线" w:cs="Times New Roman"/>
          <w:i/>
          <w:iCs/>
          <w:color w:val="auto"/>
          <w:kern w:val="0"/>
          <w:sz w:val="20"/>
          <w:lang w:val="en-GB" w:eastAsia="zh-CN"/>
        </w:rPr>
        <w:t xml:space="preserve"> any.</w:t>
      </w:r>
    </w:p>
    <w:bookmarkEnd w:id="1"/>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Low frequency bands considered in this WI is in table 4.1-1 with the contact information inside.</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bookmarkStart w:id="2" w:name="OLE_LINK25"/>
      <w:r>
        <w:rPr>
          <w:rFonts w:hint="eastAsia"/>
          <w:bCs/>
          <w:color w:val="auto"/>
          <w:kern w:val="0"/>
          <w:sz w:val="20"/>
          <w:szCs w:val="20"/>
          <w:highlight w:val="none"/>
          <w:lang w:val="en-US" w:eastAsia="zh-CN"/>
        </w:rPr>
        <w:t>In addition, some low bands are included, which are n28/</w:t>
      </w:r>
      <w:bookmarkStart w:id="3" w:name="OLE_LINK15"/>
      <w:r>
        <w:rPr>
          <w:rFonts w:hint="eastAsia"/>
          <w:bCs/>
          <w:color w:val="auto"/>
          <w:kern w:val="0"/>
          <w:sz w:val="20"/>
          <w:szCs w:val="20"/>
          <w:highlight w:val="none"/>
          <w:lang w:val="en-US" w:eastAsia="zh-CN"/>
        </w:rPr>
        <w:t>n20</w:t>
      </w:r>
      <w:bookmarkEnd w:id="3"/>
      <w:r>
        <w:rPr>
          <w:rFonts w:hint="eastAsia"/>
          <w:bCs/>
          <w:color w:val="auto"/>
          <w:kern w:val="0"/>
          <w:sz w:val="20"/>
          <w:szCs w:val="20"/>
          <w:highlight w:val="none"/>
          <w:lang w:val="en-US" w:eastAsia="zh-CN"/>
        </w:rPr>
        <w:t>/n8/n5/n26/n71, to support</w:t>
      </w:r>
      <w:bookmarkStart w:id="4" w:name="OLE_LINK2"/>
      <w:r>
        <w:rPr>
          <w:rFonts w:hint="eastAsia"/>
          <w:bCs/>
          <w:color w:val="auto"/>
          <w:kern w:val="0"/>
          <w:sz w:val="20"/>
          <w:szCs w:val="20"/>
          <w:highlight w:val="none"/>
          <w:lang w:val="en-US" w:eastAsia="zh-CN"/>
        </w:rPr>
        <w:t xml:space="preserve"> 4Rx </w:t>
      </w:r>
      <w:bookmarkStart w:id="5" w:name="OLE_LINK5"/>
      <w:r>
        <w:rPr>
          <w:rFonts w:hint="eastAsia"/>
          <w:bCs/>
          <w:color w:val="auto"/>
          <w:kern w:val="0"/>
          <w:sz w:val="20"/>
          <w:szCs w:val="20"/>
          <w:highlight w:val="none"/>
          <w:lang w:val="en-US" w:eastAsia="zh-CN"/>
        </w:rPr>
        <w:t>for handheld UE</w:t>
      </w:r>
      <w:bookmarkEnd w:id="4"/>
      <w:bookmarkEnd w:id="5"/>
      <w:r>
        <w:rPr>
          <w:rFonts w:hint="eastAsia"/>
          <w:bCs/>
          <w:color w:val="auto"/>
          <w:kern w:val="0"/>
          <w:sz w:val="20"/>
          <w:szCs w:val="20"/>
          <w:highlight w:val="none"/>
          <w:lang w:val="en-US" w:eastAsia="zh-CN"/>
        </w:rPr>
        <w:t xml:space="preserve">. </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RAN4#106bis meeting, there were some agreements captured in the WF[2], in which:</w:t>
      </w:r>
    </w:p>
    <w:p>
      <w:pPr>
        <w:keepNext/>
        <w:keepLines/>
        <w:pageBreakBefore w:val="0"/>
        <w:widowControl/>
        <w:numPr>
          <w:ilvl w:val="0"/>
          <w:numId w:val="8"/>
        </w:numPr>
        <w:kinsoku/>
        <w:wordWrap/>
        <w:overflowPunct/>
        <w:topLinePunct w:val="0"/>
        <w:autoSpaceDE/>
        <w:autoSpaceDN/>
        <w:bidi w:val="0"/>
        <w:adjustRightInd/>
        <w:snapToGrid/>
        <w:spacing w:after="120"/>
        <w:ind w:left="420" w:hanging="420" w:firstLineChars="0"/>
        <w:textAlignment w:val="auto"/>
        <w:rPr>
          <w:rFonts w:ascii="Times New Roman" w:hAnsi="Times New Roman" w:eastAsia="MS Mincho" w:cs="Times New Roman"/>
          <w:i w:val="0"/>
          <w:iCs w:val="0"/>
          <w:color w:val="auto"/>
          <w:sz w:val="20"/>
          <w:szCs w:val="20"/>
          <w:highlight w:val="none"/>
          <w:lang w:val="en-GB" w:eastAsia="zh-CN" w:bidi="ar-SA"/>
        </w:rPr>
      </w:pPr>
      <w:r>
        <w:rPr>
          <w:rFonts w:hint="eastAsia" w:ascii="Times New Roman" w:hAnsi="Times New Roman" w:eastAsia="MS Mincho" w:cs="Times New Roman"/>
          <w:i w:val="0"/>
          <w:iCs w:val="0"/>
          <w:color w:val="auto"/>
          <w:sz w:val="20"/>
          <w:szCs w:val="20"/>
          <w:highlight w:val="none"/>
          <w:lang w:val="en-US" w:eastAsia="zh-CN" w:bidi="ar-SA"/>
        </w:rPr>
        <w:t xml:space="preserve">For </w:t>
      </w:r>
      <w:r>
        <w:rPr>
          <w:rFonts w:ascii="Times New Roman" w:hAnsi="Times New Roman" w:eastAsia="MS Mincho" w:cs="Times New Roman"/>
          <w:i w:val="0"/>
          <w:iCs w:val="0"/>
          <w:color w:val="auto"/>
          <w:sz w:val="20"/>
          <w:szCs w:val="20"/>
          <w:highlight w:val="none"/>
          <w:lang w:val="en-GB" w:eastAsia="en-US" w:bidi="ar-SA"/>
        </w:rPr>
        <w:t>deltaT</w:t>
      </w:r>
      <w:r>
        <w:rPr>
          <w:rFonts w:ascii="Times New Roman" w:hAnsi="Times New Roman" w:eastAsia="MS Mincho" w:cs="Times New Roman"/>
          <w:i w:val="0"/>
          <w:iCs w:val="0"/>
          <w:color w:val="auto"/>
          <w:sz w:val="20"/>
          <w:szCs w:val="20"/>
          <w:highlight w:val="none"/>
          <w:vertAlign w:val="subscript"/>
          <w:lang w:val="en-GB" w:eastAsia="en-US" w:bidi="ar-SA"/>
        </w:rPr>
        <w:t>RxSRS</w:t>
      </w:r>
      <w:r>
        <w:rPr>
          <w:rFonts w:hint="eastAsia" w:ascii="Times New Roman" w:hAnsi="Times New Roman" w:eastAsia="MS Mincho" w:cs="Times New Roman"/>
          <w:i w:val="0"/>
          <w:iCs w:val="0"/>
          <w:color w:val="auto"/>
          <w:sz w:val="20"/>
          <w:szCs w:val="20"/>
          <w:highlight w:val="none"/>
          <w:lang w:val="en-US" w:eastAsia="zh-CN" w:bidi="ar-SA"/>
        </w:rPr>
        <w:t xml:space="preserve"> ,</w:t>
      </w:r>
      <w:r>
        <w:rPr>
          <w:rFonts w:ascii="Times New Roman" w:hAnsi="Times New Roman" w:eastAsia="MS Mincho" w:cs="Times New Roman"/>
          <w:i w:val="0"/>
          <w:iCs w:val="0"/>
          <w:color w:val="auto"/>
          <w:sz w:val="20"/>
          <w:szCs w:val="20"/>
          <w:highlight w:val="none"/>
          <w:lang w:val="en-GB" w:eastAsia="zh-CN" w:bidi="ar-SA"/>
        </w:rPr>
        <w:t>No spec update needed in RAN4, i.e. current spec also applies to FDD low bands.</w:t>
      </w:r>
    </w:p>
    <w:p>
      <w:pPr>
        <w:keepNext/>
        <w:keepLines/>
        <w:pageBreakBefore w:val="0"/>
        <w:widowControl/>
        <w:numPr>
          <w:ilvl w:val="0"/>
          <w:numId w:val="8"/>
        </w:numPr>
        <w:kinsoku/>
        <w:wordWrap/>
        <w:overflowPunct/>
        <w:topLinePunct w:val="0"/>
        <w:autoSpaceDE/>
        <w:autoSpaceDN/>
        <w:bidi w:val="0"/>
        <w:adjustRightInd/>
        <w:snapToGrid/>
        <w:spacing w:after="120"/>
        <w:ind w:left="420" w:hanging="420" w:firstLineChars="0"/>
        <w:textAlignment w:val="auto"/>
        <w:rPr>
          <w:rFonts w:ascii="Times New Roman" w:hAnsi="Times New Roman" w:eastAsia="MS Mincho" w:cs="Times New Roman"/>
          <w:i w:val="0"/>
          <w:iCs w:val="0"/>
          <w:color w:val="auto"/>
          <w:sz w:val="20"/>
          <w:szCs w:val="20"/>
          <w:highlight w:val="none"/>
          <w:lang w:val="en-GB" w:eastAsia="en-US" w:bidi="ar-SA"/>
        </w:rPr>
      </w:pPr>
      <w:r>
        <w:rPr>
          <w:rFonts w:ascii="Times New Roman" w:hAnsi="Times New Roman" w:eastAsia="MS Mincho" w:cs="Times New Roman"/>
          <w:i w:val="0"/>
          <w:iCs w:val="0"/>
          <w:color w:val="auto"/>
          <w:sz w:val="20"/>
          <w:szCs w:val="20"/>
          <w:highlight w:val="none"/>
          <w:lang w:val="en-GB" w:eastAsia="zh-CN" w:bidi="ar-SA"/>
        </w:rPr>
        <w:t>No new signalling is expected to differentiate the requirements for different UE types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eastAsia="宋体"/>
          <w:bCs/>
          <w:color w:val="auto"/>
          <w:kern w:val="0"/>
          <w:sz w:val="20"/>
          <w:szCs w:val="20"/>
          <w:highlight w:val="none"/>
          <w:lang w:val="en-US" w:eastAsia="zh-CN"/>
        </w:rPr>
      </w:pPr>
      <w:r>
        <w:rPr>
          <w:rFonts w:hint="eastAsia" w:eastAsia="宋体"/>
          <w:sz w:val="20"/>
          <w:szCs w:val="20"/>
          <w:lang w:val="en-US" w:eastAsia="zh-CN"/>
        </w:rPr>
        <w:t xml:space="preserve">Meanwhile, there are still some open issues left, such as feasibility and </w:t>
      </w:r>
      <w:r>
        <w:rPr>
          <w:b w:val="0"/>
          <w:bCs/>
          <w:sz w:val="21"/>
          <w:szCs w:val="21"/>
        </w:rPr>
        <w:t>ΔR</w:t>
      </w:r>
      <w:r>
        <w:rPr>
          <w:b w:val="0"/>
          <w:bCs/>
          <w:sz w:val="21"/>
          <w:szCs w:val="21"/>
          <w:vertAlign w:val="subscript"/>
        </w:rPr>
        <w:t>IB,4R</w:t>
      </w:r>
      <w:r>
        <w:rPr>
          <w:rFonts w:hint="eastAsia" w:eastAsia="宋体"/>
          <w:b w:val="0"/>
          <w:bCs/>
          <w:sz w:val="21"/>
          <w:szCs w:val="21"/>
          <w:vertAlign w:val="subscript"/>
          <w:lang w:val="en-US" w:eastAsia="zh-CN"/>
        </w:rPr>
        <w:t xml:space="preserve"> </w:t>
      </w:r>
      <w:r>
        <w:rPr>
          <w:rFonts w:hint="eastAsia" w:eastAsia="宋体"/>
          <w:sz w:val="20"/>
          <w:szCs w:val="20"/>
          <w:lang w:val="en-US" w:eastAsia="zh-CN"/>
        </w:rPr>
        <w:t xml:space="preserve">requirements. </w:t>
      </w:r>
      <w:r>
        <w:rPr>
          <w:rFonts w:hint="eastAsia" w:eastAsia="宋体"/>
          <w:bCs/>
          <w:color w:val="auto"/>
          <w:kern w:val="0"/>
          <w:sz w:val="20"/>
          <w:szCs w:val="20"/>
          <w:highlight w:val="none"/>
          <w:lang w:val="en-US" w:eastAsia="zh-CN"/>
        </w:rPr>
        <w:t xml:space="preserve">In this contributions, we give </w:t>
      </w:r>
      <w:bookmarkStart w:id="6" w:name="OLE_LINK35"/>
      <w:r>
        <w:rPr>
          <w:rFonts w:hint="eastAsia"/>
          <w:bCs/>
          <w:color w:val="auto"/>
          <w:kern w:val="0"/>
          <w:sz w:val="20"/>
          <w:szCs w:val="20"/>
          <w:highlight w:val="none"/>
          <w:lang w:val="en-US" w:eastAsia="zh-CN"/>
        </w:rPr>
        <w:t xml:space="preserve">further </w:t>
      </w:r>
      <w:bookmarkEnd w:id="6"/>
      <w:r>
        <w:rPr>
          <w:rFonts w:hint="eastAsia" w:eastAsia="宋体"/>
          <w:bCs/>
          <w:color w:val="auto"/>
          <w:kern w:val="0"/>
          <w:sz w:val="20"/>
          <w:szCs w:val="20"/>
          <w:highlight w:val="none"/>
          <w:lang w:val="en-US" w:eastAsia="zh-CN"/>
        </w:rPr>
        <w:t xml:space="preserve">discussions on </w:t>
      </w:r>
      <w:bookmarkStart w:id="7" w:name="OLE_LINK94"/>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4Rx supported in the </w:t>
      </w:r>
      <w:bookmarkStart w:id="8" w:name="OLE_LINK17"/>
      <w:r>
        <w:rPr>
          <w:rFonts w:hint="eastAsia"/>
          <w:bCs/>
          <w:color w:val="auto"/>
          <w:kern w:val="0"/>
          <w:sz w:val="20"/>
          <w:szCs w:val="20"/>
          <w:highlight w:val="none"/>
          <w:lang w:val="en-US" w:eastAsia="zh-CN"/>
        </w:rPr>
        <w:t>low band</w:t>
      </w:r>
      <w:bookmarkStart w:id="9" w:name="OLE_LINK16"/>
      <w:r>
        <w:rPr>
          <w:rFonts w:hint="eastAsia"/>
          <w:bCs/>
          <w:color w:val="auto"/>
          <w:kern w:val="0"/>
          <w:sz w:val="20"/>
          <w:szCs w:val="20"/>
          <w:highlight w:val="none"/>
          <w:lang w:val="en-US" w:eastAsia="zh-CN"/>
        </w:rPr>
        <w:t xml:space="preserve"> (&lt;1GHz)</w:t>
      </w:r>
      <w:bookmarkEnd w:id="7"/>
      <w:bookmarkEnd w:id="8"/>
      <w:bookmarkEnd w:id="9"/>
      <w:r>
        <w:rPr>
          <w:rFonts w:hint="eastAsia"/>
          <w:bCs/>
          <w:color w:val="auto"/>
          <w:kern w:val="0"/>
          <w:sz w:val="20"/>
          <w:szCs w:val="20"/>
          <w:highlight w:val="none"/>
          <w:lang w:val="en-US" w:eastAsia="zh-CN"/>
        </w:rPr>
        <w:t xml:space="preserve">. </w:t>
      </w:r>
    </w:p>
    <w:bookmarkEnd w:id="2"/>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bookmarkStart w:id="10" w:name="OLE_LINK23"/>
      <w:bookmarkStart w:id="11" w:name="OLE_LINK66"/>
      <w:bookmarkStart w:id="12" w:name="OLE_LINK24"/>
      <w:bookmarkStart w:id="13" w:name="OLE_LINK28"/>
      <w:r>
        <w:rPr>
          <w:rFonts w:hint="eastAsia"/>
          <w:color w:val="auto"/>
          <w:sz w:val="20"/>
          <w:szCs w:val="20"/>
          <w:lang w:val="en-US" w:eastAsia="zh-CN"/>
        </w:rPr>
        <w:t xml:space="preserve">For the </w:t>
      </w:r>
      <w:r>
        <w:rPr>
          <w:rFonts w:hint="eastAsia" w:eastAsia="宋体"/>
          <w:sz w:val="20"/>
          <w:szCs w:val="20"/>
          <w:lang w:val="en-US" w:eastAsia="zh-CN"/>
        </w:rPr>
        <w:t>feasibility</w:t>
      </w:r>
      <w:r>
        <w:rPr>
          <w:rFonts w:hint="eastAsia"/>
          <w:sz w:val="20"/>
          <w:szCs w:val="20"/>
          <w:lang w:val="en-US" w:eastAsia="zh-CN"/>
        </w:rPr>
        <w:t>, the question is how to handle with the new requested low bands,which is: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topLinePunct w:val="0"/>
              <w:autoSpaceDE/>
              <w:autoSpaceDN/>
              <w:bidi w:val="0"/>
              <w:adjustRightInd/>
              <w:snapToGrid/>
              <w:spacing w:before="120" w:beforeLines="0" w:beforeAutospacing="0" w:after="120" w:afterLines="0" w:afterAutospacing="0" w:line="240" w:lineRule="auto"/>
              <w:jc w:val="both"/>
              <w:textAlignment w:val="auto"/>
              <w:outlineLvl w:val="3"/>
              <w:rPr>
                <w:rFonts w:ascii="Arial" w:hAnsi="Arial" w:eastAsia="黑体" w:cs="Times New Roman"/>
                <w:b/>
                <w:kern w:val="44"/>
                <w:sz w:val="21"/>
                <w:szCs w:val="21"/>
                <w:lang w:val="en-US" w:eastAsia="zh-CN" w:bidi="ar-SA"/>
              </w:rPr>
            </w:pPr>
            <w:r>
              <w:rPr>
                <w:rFonts w:ascii="Arial" w:hAnsi="Arial" w:eastAsia="黑体" w:cs="Times New Roman"/>
                <w:b/>
                <w:kern w:val="44"/>
                <w:sz w:val="21"/>
                <w:szCs w:val="21"/>
                <w:lang w:val="en-US" w:eastAsia="zh-CN" w:bidi="ar-SA"/>
              </w:rPr>
              <w:t>Issue 1-1-1: Feasibility of other low bands (&lt;1GHz)</w:t>
            </w:r>
          </w:p>
          <w:p>
            <w:pPr>
              <w:widowControl w:val="0"/>
              <w:overflowPunct w:val="0"/>
              <w:autoSpaceDE w:val="0"/>
              <w:autoSpaceDN w:val="0"/>
              <w:adjustRightInd w:val="0"/>
              <w:spacing w:beforeLines="-2147483648" w:after="180" w:afterLines="-2147483648" w:line="240" w:lineRule="auto"/>
              <w:ind w:left="420" w:leftChars="200"/>
              <w:textAlignment w:val="baseline"/>
              <w:rPr>
                <w:b/>
                <w:szCs w:val="24"/>
              </w:rPr>
            </w:pPr>
            <w:r>
              <w:rPr>
                <w:b/>
                <w:szCs w:val="24"/>
              </w:rPr>
              <w:t xml:space="preserve">Agreement: </w:t>
            </w:r>
          </w:p>
          <w:p>
            <w:pPr>
              <w:keepNext w:val="0"/>
              <w:keepLines w:val="0"/>
              <w:pageBreakBefore w:val="0"/>
              <w:widowControl w:val="0"/>
              <w:numPr>
                <w:ilvl w:val="0"/>
                <w:numId w:val="9"/>
              </w:numPr>
              <w:kinsoku/>
              <w:wordWrap/>
              <w:overflowPunct w:val="0"/>
              <w:topLinePunct w:val="0"/>
              <w:autoSpaceDE w:val="0"/>
              <w:autoSpaceDN w:val="0"/>
              <w:bidi w:val="0"/>
              <w:adjustRightInd w:val="0"/>
              <w:snapToGrid/>
              <w:spacing w:after="120"/>
              <w:ind w:left="420" w:leftChars="200" w:firstLine="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Once the feasibility of low band 4Rx for handheld UE is confirmed, the conclusion of feasibility can be applied to all the requested low bands and the feasibility does not preclude the introduction of the new low bands in the WID.</w:t>
            </w:r>
          </w:p>
          <w:p>
            <w:pPr>
              <w:keepNext w:val="0"/>
              <w:keepLines w:val="0"/>
              <w:pageBreakBefore w:val="0"/>
              <w:widowControl w:val="0"/>
              <w:numPr>
                <w:ilvl w:val="0"/>
                <w:numId w:val="9"/>
              </w:numPr>
              <w:kinsoku/>
              <w:wordWrap/>
              <w:overflowPunct w:val="0"/>
              <w:topLinePunct w:val="0"/>
              <w:autoSpaceDE w:val="0"/>
              <w:autoSpaceDN w:val="0"/>
              <w:bidi w:val="0"/>
              <w:adjustRightInd w:val="0"/>
              <w:snapToGrid/>
              <w:spacing w:after="120"/>
              <w:ind w:left="420" w:leftChars="200" w:firstLine="0" w:firstLineChars="0"/>
              <w:jc w:val="both"/>
              <w:textAlignment w:val="baseline"/>
              <w:rPr>
                <w:rFonts w:hint="eastAsia"/>
                <w:color w:val="auto"/>
                <w:sz w:val="20"/>
                <w:szCs w:val="20"/>
                <w:vertAlign w:val="baseline"/>
                <w:lang w:val="en-US" w:eastAsia="zh-CN"/>
              </w:rPr>
            </w:pPr>
            <w:r>
              <w:rPr>
                <w:rFonts w:ascii="Times New Roman" w:hAnsi="Times New Roman" w:eastAsia="ＭＳ 明朝" w:cs="Times New Roman"/>
                <w:kern w:val="2"/>
                <w:sz w:val="21"/>
                <w:szCs w:val="24"/>
                <w:lang w:val="en-US" w:eastAsia="zh-CN" w:bidi="ar-SA"/>
              </w:rPr>
              <w:t>RAN4 plans to close the feasibility study in May meeting.</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olor w:val="auto"/>
          <w:sz w:val="20"/>
          <w:szCs w:val="20"/>
          <w:lang w:val="en-US" w:eastAsia="zh-CN"/>
        </w:rPr>
        <w:t xml:space="preserve">As we discussed in our paper in [3], whether or not support 4Rx in low band(&lt;1GHz) for handheld UE depends on the implementation and design. Of course, interesting companies can provide simulations or measurements on the </w:t>
      </w:r>
      <w:r>
        <w:rPr>
          <w:szCs w:val="24"/>
          <w:lang w:eastAsia="zh-CN"/>
        </w:rPr>
        <w:t>performance evaluation inputs</w:t>
      </w:r>
      <w:r>
        <w:rPr>
          <w:rFonts w:hint="eastAsia"/>
          <w:szCs w:val="24"/>
          <w:lang w:val="en-US" w:eastAsia="zh-CN"/>
        </w:rPr>
        <w:t xml:space="preserve"> </w:t>
      </w:r>
      <w:r>
        <w:rPr>
          <w:rFonts w:hint="eastAsia"/>
          <w:color w:val="auto"/>
          <w:sz w:val="20"/>
          <w:szCs w:val="20"/>
          <w:lang w:val="en-US" w:eastAsia="zh-CN"/>
        </w:rPr>
        <w:t>for their own interesting low band who will support 4Rx.</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val="0"/>
          <w:color w:val="auto"/>
          <w:sz w:val="20"/>
          <w:u w:val="none"/>
          <w:lang w:val="en-US" w:eastAsia="zh-CN"/>
        </w:rPr>
      </w:pPr>
      <w:r>
        <w:rPr>
          <w:rFonts w:hint="eastAsia"/>
          <w:color w:val="auto"/>
          <w:sz w:val="20"/>
          <w:szCs w:val="20"/>
          <w:lang w:val="en-US" w:eastAsia="zh-CN"/>
        </w:rPr>
        <w:t xml:space="preserve">In our understanding, </w:t>
      </w:r>
      <w:bookmarkStart w:id="14" w:name="OLE_LINK40"/>
      <w:r>
        <w:rPr>
          <w:rFonts w:hint="eastAsia"/>
          <w:b w:val="0"/>
          <w:color w:val="auto"/>
          <w:sz w:val="20"/>
          <w:u w:val="none"/>
          <w:lang w:val="en-US" w:eastAsia="zh-CN"/>
        </w:rPr>
        <w:t>all of the requested sub-1GHz band in the WID should share the same agreements.</w:t>
      </w:r>
      <w:bookmarkEnd w:id="14"/>
      <w:r>
        <w:rPr>
          <w:rFonts w:hint="eastAsia"/>
          <w:b w:val="0"/>
          <w:color w:val="auto"/>
          <w:sz w:val="20"/>
          <w:u w:val="none"/>
          <w:lang w:val="en-US" w:eastAsia="zh-CN"/>
        </w:rPr>
        <w:t xml:space="preserve"> If not, the work would become very tricky since company must bring </w:t>
      </w:r>
      <w:bookmarkStart w:id="15" w:name="OLE_LINK30"/>
      <w:r>
        <w:rPr>
          <w:rFonts w:hint="eastAsia"/>
          <w:b w:val="0"/>
          <w:color w:val="auto"/>
          <w:sz w:val="20"/>
          <w:u w:val="none"/>
          <w:lang w:val="en-US" w:eastAsia="zh-CN"/>
        </w:rPr>
        <w:t xml:space="preserve">evident </w:t>
      </w:r>
      <w:bookmarkEnd w:id="15"/>
      <w:r>
        <w:rPr>
          <w:rFonts w:hint="eastAsia"/>
          <w:b w:val="0"/>
          <w:color w:val="auto"/>
          <w:sz w:val="20"/>
          <w:u w:val="none"/>
          <w:lang w:val="en-US" w:eastAsia="zh-CN"/>
        </w:rPr>
        <w:t>based on</w:t>
      </w:r>
      <w:bookmarkStart w:id="16" w:name="OLE_LINK33"/>
      <w:r>
        <w:rPr>
          <w:rFonts w:hint="eastAsia"/>
          <w:b w:val="0"/>
          <w:color w:val="auto"/>
          <w:sz w:val="20"/>
          <w:u w:val="none"/>
          <w:lang w:val="en-US" w:eastAsia="zh-CN"/>
        </w:rPr>
        <w:t xml:space="preserve"> measurements/simulations</w:t>
      </w:r>
      <w:bookmarkEnd w:id="16"/>
      <w:r>
        <w:rPr>
          <w:rFonts w:hint="eastAsia"/>
          <w:b w:val="0"/>
          <w:color w:val="auto"/>
          <w:sz w:val="20"/>
          <w:u w:val="none"/>
          <w:lang w:val="en-US" w:eastAsia="zh-CN"/>
        </w:rPr>
        <w:t xml:space="preserve"> for their interesting low bands case by case to verify which band is not feasible and which band is feasible, it would cause huge workload. In addition, we think the most of the requested bands are from the operator</w:t>
      </w:r>
      <w:r>
        <w:rPr>
          <w:rFonts w:hint="default"/>
          <w:b w:val="0"/>
          <w:color w:val="auto"/>
          <w:sz w:val="20"/>
          <w:u w:val="none"/>
          <w:lang w:val="en-US" w:eastAsia="zh-CN"/>
        </w:rPr>
        <w:t>’</w:t>
      </w:r>
      <w:r>
        <w:rPr>
          <w:rFonts w:hint="eastAsia"/>
          <w:b w:val="0"/>
          <w:color w:val="auto"/>
          <w:sz w:val="20"/>
          <w:u w:val="none"/>
          <w:lang w:val="en-US" w:eastAsia="zh-CN"/>
        </w:rPr>
        <w:t xml:space="preserve">s initial </w:t>
      </w:r>
      <w:bookmarkStart w:id="17" w:name="OLE_LINK31"/>
      <w:r>
        <w:rPr>
          <w:rFonts w:hint="eastAsia"/>
          <w:b w:val="0"/>
          <w:color w:val="auto"/>
          <w:sz w:val="20"/>
          <w:u w:val="none"/>
          <w:lang w:val="en-US" w:eastAsia="zh-CN"/>
        </w:rPr>
        <w:t>demands</w:t>
      </w:r>
      <w:bookmarkEnd w:id="17"/>
      <w:r>
        <w:rPr>
          <w:rFonts w:hint="eastAsia"/>
          <w:b w:val="0"/>
          <w:color w:val="auto"/>
          <w:sz w:val="20"/>
          <w:u w:val="none"/>
          <w:lang w:val="en-US" w:eastAsia="zh-CN"/>
        </w:rPr>
        <w:t>, and usually such demands are ahead of commercialization. Hence, we think all of the requested low band share the same agreements, which means the feasibility on the low bands support 4Rx in handheld UE should be treated as a package.</w:t>
      </w:r>
      <w:r>
        <w:rPr>
          <w:rFonts w:hint="eastAsia"/>
          <w:b w:val="0"/>
          <w:color w:val="auto"/>
          <w:sz w:val="20"/>
          <w:u w:val="none"/>
          <w:lang w:val="en-GB" w:eastAsia="en-US"/>
        </w:rPr>
        <w:t xml:space="preserve"> </w:t>
      </w:r>
      <w:r>
        <w:rPr>
          <w:rFonts w:hint="eastAsia"/>
          <w:b w:val="0"/>
          <w:color w:val="auto"/>
          <w:sz w:val="20"/>
          <w:u w:val="non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u w:val="none"/>
          <w:lang w:val="en-US" w:eastAsia="zh-CN"/>
        </w:rPr>
      </w:pPr>
      <w:bookmarkStart w:id="18" w:name="OLE_LINK9"/>
      <w:r>
        <w:rPr>
          <w:rFonts w:hint="eastAsia"/>
          <w:b/>
          <w:bCs/>
          <w:i/>
          <w:iCs/>
          <w:color w:val="auto"/>
          <w:sz w:val="20"/>
          <w:szCs w:val="20"/>
          <w:lang w:val="en-US" w:eastAsia="zh-CN"/>
        </w:rPr>
        <w:t>Proposal 1.  A</w:t>
      </w:r>
      <w:r>
        <w:rPr>
          <w:rFonts w:hint="eastAsia"/>
          <w:b/>
          <w:bCs/>
          <w:i/>
          <w:iCs/>
          <w:color w:val="auto"/>
          <w:sz w:val="20"/>
          <w:u w:val="none"/>
          <w:lang w:val="en-US" w:eastAsia="zh-CN"/>
        </w:rPr>
        <w:t>ll of the requested low band share the same agreements on the feasibility.</w:t>
      </w:r>
      <w:bookmarkEnd w:id="18"/>
      <w:r>
        <w:rPr>
          <w:rFonts w:ascii="Times New Roman" w:hAnsi="Times New Roman" w:eastAsia="MS Mincho" w:cs="Times New Roman"/>
          <w:i/>
          <w:iCs/>
          <w:color w:val="auto"/>
          <w:highlight w:val="none"/>
          <w:lang w:val="en-GB" w:eastAsia="en-US" w:bidi="ar-SA"/>
        </w:rPr>
        <w:t xml:space="preserve"> </w:t>
      </w:r>
      <w:r>
        <w:rPr>
          <w:rFonts w:hint="eastAsia"/>
          <w:b/>
          <w:bCs/>
          <w:i/>
          <w:iCs/>
          <w:color w:val="auto"/>
          <w:sz w:val="20"/>
          <w:u w:val="non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r>
        <w:rPr>
          <w:rFonts w:hint="eastAsia"/>
          <w:b w:val="0"/>
          <w:color w:val="auto"/>
          <w:sz w:val="20"/>
          <w:u w:val="none"/>
          <w:lang w:val="en-US" w:eastAsia="zh-CN"/>
        </w:rPr>
        <w:t>For</w:t>
      </w:r>
      <w:bookmarkStart w:id="19" w:name="OLE_LINK6"/>
      <w:r>
        <w:rPr>
          <w:rFonts w:hint="eastAsia"/>
          <w:b w:val="0"/>
          <w:color w:val="auto"/>
          <w:sz w:val="20"/>
          <w:u w:val="none"/>
          <w:lang w:val="en-US" w:eastAsia="zh-CN"/>
        </w:rPr>
        <w:t xml:space="preserve"> </w:t>
      </w:r>
      <w:bookmarkStart w:id="20" w:name="OLE_LINK4"/>
      <w:r>
        <w:rPr>
          <w:rFonts w:eastAsia="MS Mincho" w:cs="Arial"/>
          <w:b w:val="0"/>
          <w:bCs w:val="0"/>
          <w:i w:val="0"/>
          <w:iCs w:val="0"/>
          <w:color w:val="auto"/>
          <w:sz w:val="20"/>
          <w:szCs w:val="20"/>
        </w:rPr>
        <w:t>Δ</w:t>
      </w:r>
      <w:bookmarkEnd w:id="20"/>
      <w:r>
        <w:rPr>
          <w:rFonts w:hint="eastAsia"/>
          <w:b w:val="0"/>
          <w:color w:val="auto"/>
          <w:sz w:val="20"/>
          <w:u w:val="none"/>
        </w:rPr>
        <w:t>R</w:t>
      </w:r>
      <w:r>
        <w:rPr>
          <w:rFonts w:hint="eastAsia"/>
          <w:b w:val="0"/>
          <w:color w:val="auto"/>
          <w:sz w:val="20"/>
          <w:u w:val="none"/>
          <w:vertAlign w:val="subscript"/>
        </w:rPr>
        <w:t>IB,4R</w:t>
      </w:r>
      <w:r>
        <w:rPr>
          <w:rFonts w:hint="eastAsia"/>
          <w:b w:val="0"/>
          <w:color w:val="auto"/>
          <w:sz w:val="20"/>
          <w:u w:val="none"/>
          <w:vertAlign w:val="baseline"/>
          <w:lang w:val="en-US" w:eastAsia="zh-CN"/>
        </w:rPr>
        <w:t>,</w:t>
      </w:r>
      <w:bookmarkEnd w:id="19"/>
      <w:r>
        <w:rPr>
          <w:rFonts w:hint="eastAsia"/>
          <w:b w:val="0"/>
          <w:color w:val="auto"/>
          <w:sz w:val="20"/>
          <w:u w:val="none"/>
          <w:vertAlign w:val="baseline"/>
          <w:lang w:val="en-US" w:eastAsia="zh-CN"/>
        </w:rPr>
        <w:t xml:space="preserve"> </w:t>
      </w:r>
      <w:r>
        <w:rPr>
          <w:rFonts w:hint="eastAsia"/>
          <w:color w:val="auto"/>
          <w:sz w:val="20"/>
          <w:szCs w:val="20"/>
          <w:lang w:val="en-US" w:eastAsia="zh-CN"/>
        </w:rPr>
        <w:t xml:space="preserve">it was agree to </w:t>
      </w:r>
      <w:r>
        <w:rPr>
          <w:rFonts w:hint="eastAsia"/>
          <w:color w:val="auto"/>
          <w:sz w:val="20"/>
          <w:szCs w:val="20"/>
          <w:lang w:eastAsia="zh-CN"/>
        </w:rPr>
        <w:t>c</w:t>
      </w:r>
      <w:r>
        <w:rPr>
          <w:rFonts w:hint="eastAsia" w:eastAsia="宋体"/>
          <w:color w:val="auto"/>
          <w:sz w:val="20"/>
          <w:szCs w:val="20"/>
          <w:lang w:eastAsia="zh-CN"/>
        </w:rPr>
        <w:t>onsidering LTE 4Rx requirement as starting point</w:t>
      </w:r>
      <w:r>
        <w:rPr>
          <w:rFonts w:hint="eastAsia"/>
          <w:color w:val="auto"/>
          <w:sz w:val="20"/>
          <w:szCs w:val="20"/>
          <w:lang w:val="en-US" w:eastAsia="zh-CN"/>
        </w:rPr>
        <w:t>. For NR lower bands support 4Rx, the main challenges are the antenna design, which is the different placement of the antennas might achieve different antenna performance. It shall be noted that different placement of the antennas don</w:t>
      </w:r>
      <w:r>
        <w:rPr>
          <w:rFonts w:hint="default"/>
          <w:color w:val="auto"/>
          <w:sz w:val="20"/>
          <w:szCs w:val="20"/>
          <w:lang w:val="en-US" w:eastAsia="zh-CN"/>
        </w:rPr>
        <w:t>’</w:t>
      </w:r>
      <w:r>
        <w:rPr>
          <w:rFonts w:hint="eastAsia"/>
          <w:color w:val="auto"/>
          <w:sz w:val="20"/>
          <w:szCs w:val="20"/>
          <w:lang w:val="en-US" w:eastAsia="zh-CN"/>
        </w:rPr>
        <w:t xml:space="preserve">t mean different placement of LNA, the letter one would impact the REFSEN requirements due to noise figure is usually dominated by the first-stage RF component (i.e. LNA). We think a common RFED design is </w:t>
      </w:r>
      <w:bookmarkStart w:id="21" w:name="OLE_LINK7"/>
      <w:r>
        <w:rPr>
          <w:rFonts w:hint="eastAsia"/>
          <w:color w:val="auto"/>
          <w:sz w:val="20"/>
          <w:szCs w:val="20"/>
          <w:lang w:val="en-US" w:eastAsia="zh-CN"/>
        </w:rPr>
        <w:t xml:space="preserve">considerable </w:t>
      </w:r>
      <w:bookmarkEnd w:id="21"/>
      <w:r>
        <w:rPr>
          <w:rFonts w:hint="eastAsia"/>
          <w:color w:val="auto"/>
          <w:sz w:val="20"/>
          <w:szCs w:val="20"/>
          <w:lang w:val="en-US" w:eastAsia="zh-CN"/>
        </w:rPr>
        <w:t>for different antenna design in practical.</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Cs/>
          <w:color w:val="auto"/>
          <w:kern w:val="0"/>
          <w:sz w:val="20"/>
          <w:szCs w:val="20"/>
          <w:highlight w:val="none"/>
          <w:lang w:val="en-US" w:eastAsia="zh-CN"/>
        </w:rPr>
      </w:pPr>
      <w:r>
        <w:rPr>
          <w:rFonts w:hint="eastAsia"/>
          <w:color w:val="auto"/>
          <w:sz w:val="20"/>
          <w:szCs w:val="20"/>
          <w:lang w:val="en-US" w:eastAsia="zh-CN"/>
        </w:rPr>
        <w:t xml:space="preserve">Moreover, REFSEN requirements are conductive requirement which will not be impacted by antenna design. Although </w:t>
      </w:r>
      <w:r>
        <w:rPr>
          <w:rFonts w:eastAsia="MS Mincho" w:cs="Arial"/>
          <w:b w:val="0"/>
          <w:bCs w:val="0"/>
          <w:i w:val="0"/>
          <w:iCs w:val="0"/>
          <w:color w:val="auto"/>
          <w:sz w:val="20"/>
          <w:szCs w:val="20"/>
        </w:rPr>
        <w:t>Δ</w:t>
      </w:r>
      <w:r>
        <w:rPr>
          <w:rFonts w:hint="eastAsia"/>
          <w:b w:val="0"/>
          <w:color w:val="auto"/>
          <w:sz w:val="20"/>
          <w:u w:val="none"/>
        </w:rPr>
        <w:t>R</w:t>
      </w:r>
      <w:r>
        <w:rPr>
          <w:rFonts w:hint="eastAsia"/>
          <w:b w:val="0"/>
          <w:color w:val="auto"/>
          <w:sz w:val="20"/>
          <w:u w:val="none"/>
          <w:vertAlign w:val="subscript"/>
        </w:rPr>
        <w:t>IB,4R</w:t>
      </w:r>
      <w:r>
        <w:rPr>
          <w:rFonts w:hint="eastAsia"/>
          <w:b w:val="0"/>
          <w:color w:val="auto"/>
          <w:sz w:val="20"/>
          <w:u w:val="none"/>
          <w:vertAlign w:val="subscript"/>
          <w:lang w:val="en-US" w:eastAsia="zh-CN"/>
        </w:rPr>
        <w:t xml:space="preserve"> </w:t>
      </w:r>
      <w:r>
        <w:rPr>
          <w:rFonts w:hint="eastAsia"/>
          <w:color w:val="auto"/>
          <w:sz w:val="20"/>
          <w:szCs w:val="20"/>
          <w:lang w:val="en-US" w:eastAsia="zh-CN"/>
        </w:rPr>
        <w:t xml:space="preserve">requirements were usually compromise values, we still think </w:t>
      </w:r>
      <w:r>
        <w:rPr>
          <w:rFonts w:hint="eastAsia"/>
          <w:b w:val="0"/>
          <w:color w:val="auto"/>
          <w:sz w:val="20"/>
          <w:u w:val="none"/>
          <w:vertAlign w:val="baseline"/>
          <w:lang w:val="en-US" w:eastAsia="zh-CN"/>
        </w:rPr>
        <w:t xml:space="preserve">-2.7dB could be re-used for NR sub-1GHz </w:t>
      </w:r>
      <w:r>
        <w:rPr>
          <w:rFonts w:hint="eastAsia" w:eastAsia="宋体" w:cs="Times New Roman"/>
          <w:b w:val="0"/>
          <w:bCs w:val="0"/>
          <w:i w:val="0"/>
          <w:iCs w:val="0"/>
          <w:color w:val="auto"/>
          <w:sz w:val="20"/>
          <w:szCs w:val="20"/>
          <w:u w:val="none"/>
          <w:lang w:val="en-US" w:eastAsia="zh-CN"/>
        </w:rPr>
        <w:t>bands to support 4Rx antennas</w:t>
      </w:r>
      <w:r>
        <w:rPr>
          <w:rFonts w:hint="eastAsia" w:cs="Times New Roman"/>
          <w:b w:val="0"/>
          <w:bCs w:val="0"/>
          <w:i w:val="0"/>
          <w:iCs w:val="0"/>
          <w:color w:val="auto"/>
          <w:sz w:val="20"/>
          <w:szCs w:val="20"/>
          <w:u w:val="none"/>
          <w:lang w:val="en-US" w:eastAsia="zh-CN"/>
        </w:rPr>
        <w:t>, as we discussed in [3].</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eastAsia="宋体" w:cs="Arial"/>
          <w:b/>
          <w:bCs/>
          <w:i/>
          <w:iCs/>
          <w:color w:val="auto"/>
          <w:sz w:val="20"/>
          <w:szCs w:val="20"/>
          <w:lang w:val="en-US" w:eastAsia="zh-CN"/>
        </w:rPr>
      </w:pPr>
      <w:bookmarkStart w:id="22" w:name="OLE_LINK11"/>
      <w:r>
        <w:rPr>
          <w:rFonts w:hint="eastAsia" w:eastAsia="宋体" w:cs="Arial"/>
          <w:b/>
          <w:bCs/>
          <w:i/>
          <w:iCs/>
          <w:color w:val="auto"/>
          <w:sz w:val="20"/>
          <w:szCs w:val="20"/>
          <w:lang w:val="en-US" w:eastAsia="zh-CN"/>
        </w:rPr>
        <w:t>Proposal</w:t>
      </w:r>
      <w:r>
        <w:rPr>
          <w:rFonts w:hint="eastAsia" w:cs="Arial"/>
          <w:b/>
          <w:bCs/>
          <w:i/>
          <w:iCs/>
          <w:color w:val="auto"/>
          <w:sz w:val="20"/>
          <w:szCs w:val="20"/>
          <w:lang w:val="en-US" w:eastAsia="zh-CN"/>
        </w:rPr>
        <w:t xml:space="preserve"> 2</w:t>
      </w:r>
      <w:r>
        <w:rPr>
          <w:rFonts w:hint="eastAsia" w:eastAsia="宋体" w:cs="Arial"/>
          <w:b/>
          <w:bCs/>
          <w:i/>
          <w:iCs/>
          <w:color w:val="auto"/>
          <w:sz w:val="20"/>
          <w:szCs w:val="20"/>
          <w:lang w:val="en-US" w:eastAsia="zh-CN"/>
        </w:rPr>
        <w:t>: -2.7dB</w:t>
      </w:r>
      <w:r>
        <w:rPr>
          <w:rFonts w:hint="eastAsia" w:cs="Arial"/>
          <w:b/>
          <w:bCs/>
          <w:i/>
          <w:iCs/>
          <w:color w:val="auto"/>
          <w:sz w:val="20"/>
          <w:szCs w:val="20"/>
          <w:lang w:val="en-US" w:eastAsia="zh-CN"/>
        </w:rPr>
        <w:t xml:space="preserve"> could be reused for</w:t>
      </w:r>
      <w:r>
        <w:rPr>
          <w:rFonts w:hint="eastAsia" w:eastAsia="宋体" w:cs="Arial"/>
          <w:b/>
          <w:bCs/>
          <w:i/>
          <w:iCs/>
          <w:color w:val="auto"/>
          <w:sz w:val="20"/>
          <w:szCs w:val="20"/>
          <w:lang w:val="en-US" w:eastAsia="zh-CN"/>
        </w:rPr>
        <w:t xml:space="preserve"> NR sub-1GHz </w:t>
      </w:r>
      <w:bookmarkStart w:id="23" w:name="OLE_LINK8"/>
      <w:r>
        <w:rPr>
          <w:rFonts w:hint="eastAsia" w:eastAsia="宋体" w:cs="Arial"/>
          <w:b/>
          <w:bCs/>
          <w:i/>
          <w:iCs/>
          <w:color w:val="auto"/>
          <w:sz w:val="20"/>
          <w:szCs w:val="20"/>
          <w:lang w:val="en-US" w:eastAsia="zh-CN"/>
        </w:rPr>
        <w:t>bands support</w:t>
      </w:r>
      <w:r>
        <w:rPr>
          <w:rFonts w:hint="eastAsia" w:cs="Arial"/>
          <w:b/>
          <w:bCs/>
          <w:i/>
          <w:iCs/>
          <w:color w:val="auto"/>
          <w:sz w:val="20"/>
          <w:szCs w:val="20"/>
          <w:lang w:val="en-US" w:eastAsia="zh-CN"/>
        </w:rPr>
        <w:t>ing</w:t>
      </w:r>
      <w:r>
        <w:rPr>
          <w:rFonts w:hint="eastAsia" w:eastAsia="宋体" w:cs="Arial"/>
          <w:b/>
          <w:bCs/>
          <w:i/>
          <w:iCs/>
          <w:color w:val="auto"/>
          <w:sz w:val="20"/>
          <w:szCs w:val="20"/>
          <w:lang w:val="en-US" w:eastAsia="zh-CN"/>
        </w:rPr>
        <w:t xml:space="preserve"> 4Rx antennas for handheld UE</w:t>
      </w:r>
      <w:bookmarkEnd w:id="23"/>
      <w:r>
        <w:rPr>
          <w:rFonts w:hint="eastAsia" w:cs="Arial"/>
          <w:b/>
          <w:bCs/>
          <w:i/>
          <w:iCs/>
          <w:color w:val="auto"/>
          <w:sz w:val="20"/>
          <w:szCs w:val="20"/>
          <w:lang w:val="en-US" w:eastAsia="zh-CN"/>
        </w:rPr>
        <w:t xml:space="preserve">(i.e. </w:t>
      </w:r>
      <w:bookmarkStart w:id="24" w:name="OLE_LINK1"/>
      <w:r>
        <w:rPr>
          <w:rFonts w:eastAsia="MS Mincho" w:cs="Arial"/>
          <w:b/>
          <w:bCs/>
          <w:i/>
          <w:iCs/>
          <w:color w:val="auto"/>
          <w:sz w:val="20"/>
          <w:szCs w:val="20"/>
        </w:rPr>
        <w:t>Δ</w:t>
      </w:r>
      <w:bookmarkEnd w:id="24"/>
      <w:r>
        <w:rPr>
          <w:rFonts w:eastAsia="MS Mincho" w:cs="Arial"/>
          <w:b/>
          <w:bCs/>
          <w:i/>
          <w:iCs/>
          <w:color w:val="auto"/>
          <w:sz w:val="20"/>
          <w:szCs w:val="20"/>
        </w:rPr>
        <w:t>R</w:t>
      </w:r>
      <w:r>
        <w:rPr>
          <w:rFonts w:eastAsia="MS Mincho" w:cs="Arial"/>
          <w:b/>
          <w:bCs/>
          <w:i/>
          <w:iCs/>
          <w:color w:val="auto"/>
          <w:sz w:val="20"/>
          <w:szCs w:val="20"/>
          <w:vertAlign w:val="subscript"/>
        </w:rPr>
        <w:t xml:space="preserve">IB,4R </w:t>
      </w:r>
      <w:r>
        <w:rPr>
          <w:rFonts w:hint="eastAsia" w:eastAsia="宋体" w:cs="Arial"/>
          <w:b/>
          <w:bCs/>
          <w:i/>
          <w:iCs/>
          <w:color w:val="auto"/>
          <w:sz w:val="20"/>
          <w:szCs w:val="20"/>
          <w:vertAlign w:val="baseline"/>
          <w:lang w:val="en-US" w:eastAsia="zh-CN"/>
        </w:rPr>
        <w:t>requirement</w:t>
      </w:r>
      <w:r>
        <w:rPr>
          <w:rFonts w:hint="eastAsia" w:cs="Arial"/>
          <w:b/>
          <w:bCs/>
          <w:i/>
          <w:iCs/>
          <w:color w:val="auto"/>
          <w:sz w:val="20"/>
          <w:szCs w:val="20"/>
          <w:lang w:val="en-US" w:eastAsia="zh-CN"/>
        </w:rPr>
        <w:t>)</w:t>
      </w:r>
      <w:r>
        <w:rPr>
          <w:rFonts w:hint="eastAsia" w:eastAsia="宋体" w:cs="Arial"/>
          <w:b/>
          <w:bCs/>
          <w:i/>
          <w:iCs/>
          <w:color w:val="auto"/>
          <w:sz w:val="20"/>
          <w:szCs w:val="20"/>
          <w:lang w:val="en-US" w:eastAsia="zh-CN"/>
        </w:rPr>
        <w:t>.</w:t>
      </w:r>
    </w:p>
    <w:bookmarkEnd w:id="10"/>
    <w:bookmarkEnd w:id="11"/>
    <w:bookmarkEnd w:id="12"/>
    <w:bookmarkEnd w:id="13"/>
    <w:bookmarkEnd w:id="22"/>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4Rx antennas are supported in the low band (&lt;1GHz) for handheld UE</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u w:val="none"/>
          <w:lang w:val="en-US" w:eastAsia="zh-CN"/>
        </w:rPr>
      </w:pPr>
      <w:r>
        <w:rPr>
          <w:rFonts w:hint="eastAsia"/>
          <w:b/>
          <w:bCs/>
          <w:i/>
          <w:iCs/>
          <w:color w:val="auto"/>
          <w:sz w:val="20"/>
          <w:szCs w:val="20"/>
          <w:lang w:val="en-US" w:eastAsia="zh-CN"/>
        </w:rPr>
        <w:t>Proposal 1.  A</w:t>
      </w:r>
      <w:r>
        <w:rPr>
          <w:rFonts w:hint="eastAsia"/>
          <w:b/>
          <w:bCs/>
          <w:i/>
          <w:iCs/>
          <w:color w:val="auto"/>
          <w:sz w:val="20"/>
          <w:u w:val="none"/>
          <w:lang w:val="en-US" w:eastAsia="zh-CN"/>
        </w:rPr>
        <w:t>ll of the requested low band share the same agreements on the feasibility.</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eastAsia="宋体" w:cs="Arial"/>
          <w:b/>
          <w:bCs/>
          <w:i/>
          <w:iCs/>
          <w:color w:val="auto"/>
          <w:sz w:val="20"/>
          <w:szCs w:val="20"/>
          <w:lang w:val="en-US" w:eastAsia="zh-CN"/>
        </w:rPr>
      </w:pPr>
      <w:r>
        <w:rPr>
          <w:rFonts w:hint="eastAsia" w:eastAsia="宋体" w:cs="Arial"/>
          <w:b/>
          <w:bCs/>
          <w:i/>
          <w:iCs/>
          <w:color w:val="auto"/>
          <w:sz w:val="20"/>
          <w:szCs w:val="20"/>
          <w:lang w:val="en-US" w:eastAsia="zh-CN"/>
        </w:rPr>
        <w:t>Proposal</w:t>
      </w:r>
      <w:r>
        <w:rPr>
          <w:rFonts w:hint="eastAsia" w:cs="Arial"/>
          <w:b/>
          <w:bCs/>
          <w:i/>
          <w:iCs/>
          <w:color w:val="auto"/>
          <w:sz w:val="20"/>
          <w:szCs w:val="20"/>
          <w:lang w:val="en-US" w:eastAsia="zh-CN"/>
        </w:rPr>
        <w:t xml:space="preserve"> 2</w:t>
      </w:r>
      <w:r>
        <w:rPr>
          <w:rFonts w:hint="eastAsia" w:eastAsia="宋体" w:cs="Arial"/>
          <w:b/>
          <w:bCs/>
          <w:i/>
          <w:iCs/>
          <w:color w:val="auto"/>
          <w:sz w:val="20"/>
          <w:szCs w:val="20"/>
          <w:lang w:val="en-US" w:eastAsia="zh-CN"/>
        </w:rPr>
        <w:t xml:space="preserve">: </w:t>
      </w:r>
      <w:r>
        <w:rPr>
          <w:rFonts w:hint="eastAsia" w:cs="Arial"/>
          <w:b/>
          <w:bCs/>
          <w:i/>
          <w:iCs/>
          <w:color w:val="auto"/>
          <w:sz w:val="20"/>
          <w:szCs w:val="20"/>
          <w:lang w:val="en-US" w:eastAsia="zh-CN"/>
        </w:rPr>
        <w:t xml:space="preserve"> </w:t>
      </w:r>
      <w:r>
        <w:rPr>
          <w:rFonts w:hint="eastAsia" w:eastAsia="宋体" w:cs="Arial"/>
          <w:b/>
          <w:bCs/>
          <w:i/>
          <w:iCs/>
          <w:color w:val="auto"/>
          <w:sz w:val="20"/>
          <w:szCs w:val="20"/>
          <w:lang w:val="en-US" w:eastAsia="zh-CN"/>
        </w:rPr>
        <w:t>-2.7dB</w:t>
      </w:r>
      <w:r>
        <w:rPr>
          <w:rFonts w:hint="eastAsia" w:cs="Arial"/>
          <w:b/>
          <w:bCs/>
          <w:i/>
          <w:iCs/>
          <w:color w:val="auto"/>
          <w:sz w:val="20"/>
          <w:szCs w:val="20"/>
          <w:lang w:val="en-US" w:eastAsia="zh-CN"/>
        </w:rPr>
        <w:t xml:space="preserve"> could be reused for</w:t>
      </w:r>
      <w:r>
        <w:rPr>
          <w:rFonts w:hint="eastAsia" w:eastAsia="宋体" w:cs="Arial"/>
          <w:b/>
          <w:bCs/>
          <w:i/>
          <w:iCs/>
          <w:color w:val="auto"/>
          <w:sz w:val="20"/>
          <w:szCs w:val="20"/>
          <w:lang w:val="en-US" w:eastAsia="zh-CN"/>
        </w:rPr>
        <w:t xml:space="preserve"> NR sub-1GHz bands support</w:t>
      </w:r>
      <w:r>
        <w:rPr>
          <w:rFonts w:hint="eastAsia" w:cs="Arial"/>
          <w:b/>
          <w:bCs/>
          <w:i/>
          <w:iCs/>
          <w:color w:val="auto"/>
          <w:sz w:val="20"/>
          <w:szCs w:val="20"/>
          <w:lang w:val="en-US" w:eastAsia="zh-CN"/>
        </w:rPr>
        <w:t>ing</w:t>
      </w:r>
      <w:r>
        <w:rPr>
          <w:rFonts w:hint="eastAsia" w:eastAsia="宋体" w:cs="Arial"/>
          <w:b/>
          <w:bCs/>
          <w:i/>
          <w:iCs/>
          <w:color w:val="auto"/>
          <w:sz w:val="20"/>
          <w:szCs w:val="20"/>
          <w:lang w:val="en-US" w:eastAsia="zh-CN"/>
        </w:rPr>
        <w:t xml:space="preserve"> 4Rx antennas for handheld UE</w:t>
      </w:r>
      <w:r>
        <w:rPr>
          <w:rFonts w:hint="eastAsia" w:cs="Arial"/>
          <w:b/>
          <w:bCs/>
          <w:i/>
          <w:iCs/>
          <w:color w:val="auto"/>
          <w:sz w:val="20"/>
          <w:szCs w:val="20"/>
          <w:lang w:val="en-US" w:eastAsia="zh-CN"/>
        </w:rPr>
        <w:t xml:space="preserve">(i.e. </w:t>
      </w:r>
      <w:r>
        <w:rPr>
          <w:rFonts w:eastAsia="MS Mincho" w:cs="Arial"/>
          <w:b/>
          <w:bCs/>
          <w:i/>
          <w:iCs/>
          <w:color w:val="auto"/>
          <w:sz w:val="20"/>
          <w:szCs w:val="20"/>
        </w:rPr>
        <w:t>ΔR</w:t>
      </w:r>
      <w:r>
        <w:rPr>
          <w:rFonts w:eastAsia="MS Mincho" w:cs="Arial"/>
          <w:b/>
          <w:bCs/>
          <w:i/>
          <w:iCs/>
          <w:color w:val="auto"/>
          <w:sz w:val="20"/>
          <w:szCs w:val="20"/>
          <w:vertAlign w:val="subscript"/>
        </w:rPr>
        <w:t xml:space="preserve">IB,4R </w:t>
      </w:r>
      <w:r>
        <w:rPr>
          <w:rFonts w:hint="eastAsia" w:eastAsia="宋体" w:cs="Arial"/>
          <w:b/>
          <w:bCs/>
          <w:i/>
          <w:iCs/>
          <w:color w:val="auto"/>
          <w:sz w:val="20"/>
          <w:szCs w:val="20"/>
          <w:vertAlign w:val="baseline"/>
          <w:lang w:val="en-US" w:eastAsia="zh-CN"/>
        </w:rPr>
        <w:t>requirement</w:t>
      </w:r>
      <w:r>
        <w:rPr>
          <w:rFonts w:hint="eastAsia" w:cs="Arial"/>
          <w:b/>
          <w:bCs/>
          <w:i/>
          <w:iCs/>
          <w:color w:val="auto"/>
          <w:sz w:val="20"/>
          <w:szCs w:val="20"/>
          <w:lang w:val="en-US" w:eastAsia="zh-CN"/>
        </w:rPr>
        <w:t>)</w:t>
      </w:r>
      <w:r>
        <w:rPr>
          <w:rFonts w:hint="eastAsia" w:eastAsia="宋体" w:cs="Arial"/>
          <w:b/>
          <w:bCs/>
          <w:i/>
          <w:iCs/>
          <w:color w:val="auto"/>
          <w:sz w:val="20"/>
          <w:szCs w:val="20"/>
          <w:lang w:val="en-US" w:eastAsia="zh-CN"/>
        </w:rPr>
        <w:t>.</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eastAsia"/>
          <w:color w:val="auto"/>
          <w:sz w:val="20"/>
          <w:szCs w:val="20"/>
          <w:lang w:val="en-US" w:eastAsia="zh-CN"/>
        </w:rPr>
      </w:pPr>
      <w:r>
        <w:rPr>
          <w:rFonts w:hint="eastAsia"/>
          <w:color w:val="auto"/>
          <w:sz w:val="20"/>
          <w:szCs w:val="20"/>
          <w:lang w:val="en-US" w:eastAsia="zh-CN"/>
        </w:rPr>
        <w:t xml:space="preserve">[1] </w:t>
      </w:r>
      <w:r>
        <w:rPr>
          <w:color w:val="auto"/>
          <w:sz w:val="20"/>
          <w:szCs w:val="20"/>
          <w:lang w:val="en-US" w:eastAsia="zh-CN"/>
        </w:rPr>
        <w:t>RP-</w:t>
      </w:r>
      <w:bookmarkStart w:id="25" w:name="OLE_LINK112"/>
      <w:r>
        <w:rPr>
          <w:color w:val="auto"/>
          <w:sz w:val="20"/>
          <w:szCs w:val="20"/>
          <w:lang w:val="en-US" w:eastAsia="zh-CN"/>
        </w:rPr>
        <w:t>223517</w:t>
      </w:r>
      <w:bookmarkEnd w:id="25"/>
      <w:r>
        <w:rPr>
          <w:rFonts w:hint="eastAsia"/>
          <w:color w:val="auto"/>
          <w:sz w:val="20"/>
          <w:szCs w:val="20"/>
          <w:lang w:val="en-US" w:eastAsia="zh-CN"/>
        </w:rPr>
        <w:t xml:space="preserve">, </w:t>
      </w:r>
      <w:r>
        <w:rPr>
          <w:color w:val="auto"/>
          <w:sz w:val="20"/>
          <w:szCs w:val="20"/>
          <w:lang w:val="en-US" w:eastAsia="zh-CN"/>
        </w:rPr>
        <w:t>Low NR band 4Rx for handheld UE and 3Tx for inter-band UL CA and EN-DC</w:t>
      </w:r>
      <w:r>
        <w:rPr>
          <w:rFonts w:hint="eastAsia"/>
          <w:color w:val="auto"/>
          <w:sz w:val="20"/>
          <w:szCs w:val="20"/>
          <w:lang w:val="en-US" w:eastAsia="zh-CN"/>
        </w:rPr>
        <w:t xml:space="preserve">, </w:t>
      </w:r>
      <w:bookmarkStart w:id="26" w:name="OLE_LINK3"/>
      <w:r>
        <w:rPr>
          <w:rFonts w:hint="eastAsia"/>
          <w:color w:val="auto"/>
          <w:sz w:val="20"/>
          <w:szCs w:val="20"/>
          <w:lang w:val="en-US" w:eastAsia="zh-CN"/>
        </w:rPr>
        <w:t>OPPO</w:t>
      </w:r>
      <w:bookmarkEnd w:id="26"/>
      <w:r>
        <w:rPr>
          <w:rFonts w:hint="eastAsia"/>
          <w:color w:val="auto"/>
          <w:sz w:val="20"/>
          <w:szCs w:val="20"/>
          <w:lang w:val="en-US" w:eastAsia="zh-CN"/>
        </w:rPr>
        <w:t>,etc.</w:t>
      </w:r>
    </w:p>
    <w:p>
      <w:pPr>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color w:val="auto"/>
          <w:sz w:val="20"/>
          <w:szCs w:val="20"/>
          <w:lang w:val="en-US" w:eastAsia="zh-CN"/>
        </w:rPr>
      </w:pPr>
      <w:r>
        <w:rPr>
          <w:rFonts w:hint="eastAsia"/>
          <w:color w:val="auto"/>
          <w:sz w:val="20"/>
          <w:szCs w:val="20"/>
          <w:lang w:val="en-US" w:eastAsia="zh-CN"/>
        </w:rPr>
        <w:t xml:space="preserve">[2] </w:t>
      </w:r>
      <w:r>
        <w:rPr>
          <w:color w:val="auto"/>
          <w:sz w:val="20"/>
          <w:szCs w:val="20"/>
          <w:lang w:val="en-US" w:eastAsia="zh-CN"/>
        </w:rPr>
        <w:t>R4-2306553</w:t>
      </w:r>
      <w:r>
        <w:rPr>
          <w:rFonts w:hint="eastAsia"/>
          <w:color w:val="auto"/>
          <w:sz w:val="20"/>
          <w:szCs w:val="20"/>
          <w:lang w:val="en-US" w:eastAsia="zh-CN"/>
        </w:rPr>
        <w:t>,</w:t>
      </w:r>
      <w:r>
        <w:rPr>
          <w:color w:val="auto"/>
          <w:sz w:val="20"/>
          <w:szCs w:val="20"/>
          <w:lang w:val="en-US" w:eastAsia="zh-CN"/>
        </w:rPr>
        <w:t>WF on low band 4Rx</w:t>
      </w:r>
      <w:r>
        <w:rPr>
          <w:rFonts w:hint="eastAsia"/>
          <w:color w:val="auto"/>
          <w:sz w:val="20"/>
          <w:szCs w:val="20"/>
          <w:lang w:val="en-US" w:eastAsia="zh-CN"/>
        </w:rPr>
        <w:t>, OPPO</w:t>
      </w:r>
      <w:r>
        <w:rPr>
          <w:color w:val="auto"/>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r>
        <w:rPr>
          <w:rFonts w:hint="eastAsia"/>
          <w:color w:val="auto"/>
          <w:sz w:val="20"/>
          <w:szCs w:val="20"/>
          <w:lang w:val="en-US" w:eastAsia="zh-CN"/>
        </w:rPr>
        <w:t xml:space="preserve">[3] </w:t>
      </w:r>
      <w:r>
        <w:rPr>
          <w:rFonts w:hint="default"/>
          <w:color w:val="auto"/>
          <w:sz w:val="20"/>
          <w:szCs w:val="20"/>
          <w:lang w:val="en-US" w:eastAsia="zh-CN"/>
        </w:rPr>
        <w:t>R4-2305135</w:t>
      </w:r>
      <w:r>
        <w:rPr>
          <w:rFonts w:hint="eastAsia"/>
          <w:color w:val="auto"/>
          <w:sz w:val="20"/>
          <w:szCs w:val="20"/>
          <w:lang w:val="en-US" w:eastAsia="zh-CN"/>
        </w:rPr>
        <w:t>, Further discussion on 4Rx low band (&lt;1GHz) for handheld UE, ZTE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F59493C"/>
    <w:multiLevelType w:val="multilevel"/>
    <w:tmpl w:val="1F59493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2175B04"/>
    <w:multiLevelType w:val="multilevel"/>
    <w:tmpl w:val="32175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60822A06"/>
    <w:multiLevelType w:val="multilevel"/>
    <w:tmpl w:val="60822A0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4"/>
  </w:num>
  <w:num w:numId="4">
    <w:abstractNumId w:val="6"/>
  </w:num>
  <w:num w:numId="5">
    <w:abstractNumId w:val="1"/>
  </w:num>
  <w:num w:numId="6">
    <w:abstractNumId w:val="0"/>
  </w:num>
  <w:num w:numId="7">
    <w:abstractNumId w:val="5"/>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5F7DF7"/>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5780"/>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54210"/>
    <w:rsid w:val="01EE2663"/>
    <w:rsid w:val="01F90434"/>
    <w:rsid w:val="01FB366B"/>
    <w:rsid w:val="01FD3930"/>
    <w:rsid w:val="02001D28"/>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51D9F"/>
    <w:rsid w:val="028F6D4C"/>
    <w:rsid w:val="02926AD9"/>
    <w:rsid w:val="02933CBB"/>
    <w:rsid w:val="02951DBD"/>
    <w:rsid w:val="02976D78"/>
    <w:rsid w:val="02983E12"/>
    <w:rsid w:val="029A69A7"/>
    <w:rsid w:val="029B04E7"/>
    <w:rsid w:val="02A10998"/>
    <w:rsid w:val="02AB0FBC"/>
    <w:rsid w:val="02AE6812"/>
    <w:rsid w:val="02BA2E2E"/>
    <w:rsid w:val="02CF2DC2"/>
    <w:rsid w:val="02D16C80"/>
    <w:rsid w:val="02DC3F9C"/>
    <w:rsid w:val="02E50916"/>
    <w:rsid w:val="02F17DCF"/>
    <w:rsid w:val="03036B01"/>
    <w:rsid w:val="03052298"/>
    <w:rsid w:val="03073BDC"/>
    <w:rsid w:val="030A6B04"/>
    <w:rsid w:val="030B0647"/>
    <w:rsid w:val="030B2860"/>
    <w:rsid w:val="030C40C1"/>
    <w:rsid w:val="030D2F0B"/>
    <w:rsid w:val="03187492"/>
    <w:rsid w:val="031E429F"/>
    <w:rsid w:val="032F336F"/>
    <w:rsid w:val="03317AD0"/>
    <w:rsid w:val="03330032"/>
    <w:rsid w:val="0335410E"/>
    <w:rsid w:val="033C68CE"/>
    <w:rsid w:val="033F734A"/>
    <w:rsid w:val="03445E8F"/>
    <w:rsid w:val="03496C64"/>
    <w:rsid w:val="035154D3"/>
    <w:rsid w:val="03527C38"/>
    <w:rsid w:val="0356746F"/>
    <w:rsid w:val="0360259A"/>
    <w:rsid w:val="036E37C2"/>
    <w:rsid w:val="03746F87"/>
    <w:rsid w:val="03814F5B"/>
    <w:rsid w:val="038B3141"/>
    <w:rsid w:val="03A77DFA"/>
    <w:rsid w:val="03B339B1"/>
    <w:rsid w:val="03BE63EA"/>
    <w:rsid w:val="03C05350"/>
    <w:rsid w:val="03C1287B"/>
    <w:rsid w:val="03C36B0E"/>
    <w:rsid w:val="03C528EA"/>
    <w:rsid w:val="03CF67FA"/>
    <w:rsid w:val="03D56704"/>
    <w:rsid w:val="03E120EA"/>
    <w:rsid w:val="03E358F3"/>
    <w:rsid w:val="03E84DE8"/>
    <w:rsid w:val="03EC63CD"/>
    <w:rsid w:val="03FE5B85"/>
    <w:rsid w:val="03FE7E2B"/>
    <w:rsid w:val="04030035"/>
    <w:rsid w:val="04251A4C"/>
    <w:rsid w:val="042D2E97"/>
    <w:rsid w:val="04305EA0"/>
    <w:rsid w:val="04310833"/>
    <w:rsid w:val="04343921"/>
    <w:rsid w:val="043865BF"/>
    <w:rsid w:val="043A14AD"/>
    <w:rsid w:val="044C78D8"/>
    <w:rsid w:val="04537B11"/>
    <w:rsid w:val="04684A28"/>
    <w:rsid w:val="046C0EAE"/>
    <w:rsid w:val="04782230"/>
    <w:rsid w:val="0479507E"/>
    <w:rsid w:val="047C3CEC"/>
    <w:rsid w:val="04877377"/>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5EF01B6"/>
    <w:rsid w:val="0601277E"/>
    <w:rsid w:val="060C5AED"/>
    <w:rsid w:val="06103146"/>
    <w:rsid w:val="06172561"/>
    <w:rsid w:val="061E54DA"/>
    <w:rsid w:val="061E5E22"/>
    <w:rsid w:val="062B2FCF"/>
    <w:rsid w:val="063F63E4"/>
    <w:rsid w:val="06460B91"/>
    <w:rsid w:val="06474E16"/>
    <w:rsid w:val="0654187C"/>
    <w:rsid w:val="065475DE"/>
    <w:rsid w:val="06556C03"/>
    <w:rsid w:val="06780348"/>
    <w:rsid w:val="06782F84"/>
    <w:rsid w:val="067C28D6"/>
    <w:rsid w:val="067F6DB1"/>
    <w:rsid w:val="068A55C2"/>
    <w:rsid w:val="068E06BC"/>
    <w:rsid w:val="069201CB"/>
    <w:rsid w:val="0692688D"/>
    <w:rsid w:val="06956E2E"/>
    <w:rsid w:val="06A20AA3"/>
    <w:rsid w:val="06AC7765"/>
    <w:rsid w:val="06B62C91"/>
    <w:rsid w:val="06B741D9"/>
    <w:rsid w:val="06B756E7"/>
    <w:rsid w:val="06C457B6"/>
    <w:rsid w:val="06CD4A70"/>
    <w:rsid w:val="06DF4C13"/>
    <w:rsid w:val="06E7678C"/>
    <w:rsid w:val="06F42A88"/>
    <w:rsid w:val="06F801C0"/>
    <w:rsid w:val="070E5E48"/>
    <w:rsid w:val="07105178"/>
    <w:rsid w:val="0712124C"/>
    <w:rsid w:val="071C13A8"/>
    <w:rsid w:val="073D143C"/>
    <w:rsid w:val="074454BD"/>
    <w:rsid w:val="074855FD"/>
    <w:rsid w:val="074F5696"/>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20255"/>
    <w:rsid w:val="07C55A1A"/>
    <w:rsid w:val="07CB1347"/>
    <w:rsid w:val="07D57946"/>
    <w:rsid w:val="07E22149"/>
    <w:rsid w:val="07ED524D"/>
    <w:rsid w:val="080124E3"/>
    <w:rsid w:val="08030E27"/>
    <w:rsid w:val="080C7FA0"/>
    <w:rsid w:val="080F0F47"/>
    <w:rsid w:val="08193C24"/>
    <w:rsid w:val="082A7098"/>
    <w:rsid w:val="08334B3D"/>
    <w:rsid w:val="08341060"/>
    <w:rsid w:val="08603E1D"/>
    <w:rsid w:val="08732D34"/>
    <w:rsid w:val="08787FF0"/>
    <w:rsid w:val="08824DF0"/>
    <w:rsid w:val="0889002B"/>
    <w:rsid w:val="088F2E46"/>
    <w:rsid w:val="089B79D9"/>
    <w:rsid w:val="08A44DA6"/>
    <w:rsid w:val="08AA245A"/>
    <w:rsid w:val="08AD2ACC"/>
    <w:rsid w:val="08BA6E24"/>
    <w:rsid w:val="08C024D5"/>
    <w:rsid w:val="08C562FD"/>
    <w:rsid w:val="08CA27B1"/>
    <w:rsid w:val="08DD6212"/>
    <w:rsid w:val="08DD767F"/>
    <w:rsid w:val="08E916DF"/>
    <w:rsid w:val="08F473EA"/>
    <w:rsid w:val="08FC0AA5"/>
    <w:rsid w:val="092173F4"/>
    <w:rsid w:val="09262DE9"/>
    <w:rsid w:val="092F7300"/>
    <w:rsid w:val="09306537"/>
    <w:rsid w:val="09355076"/>
    <w:rsid w:val="09392119"/>
    <w:rsid w:val="093C76A9"/>
    <w:rsid w:val="094376AE"/>
    <w:rsid w:val="09445E95"/>
    <w:rsid w:val="09543B3B"/>
    <w:rsid w:val="09576B32"/>
    <w:rsid w:val="09600FBD"/>
    <w:rsid w:val="096A5E52"/>
    <w:rsid w:val="096B51F8"/>
    <w:rsid w:val="0972595C"/>
    <w:rsid w:val="098143BC"/>
    <w:rsid w:val="098500F1"/>
    <w:rsid w:val="0992510E"/>
    <w:rsid w:val="09934C95"/>
    <w:rsid w:val="09AC1243"/>
    <w:rsid w:val="09BD407A"/>
    <w:rsid w:val="09BF0A40"/>
    <w:rsid w:val="09C12CF5"/>
    <w:rsid w:val="09DA0E26"/>
    <w:rsid w:val="09DB6437"/>
    <w:rsid w:val="09E55691"/>
    <w:rsid w:val="09F67CD5"/>
    <w:rsid w:val="0A054821"/>
    <w:rsid w:val="0A0835C8"/>
    <w:rsid w:val="0A145721"/>
    <w:rsid w:val="0A332555"/>
    <w:rsid w:val="0A355EAA"/>
    <w:rsid w:val="0A3708FF"/>
    <w:rsid w:val="0A3B01F9"/>
    <w:rsid w:val="0A3F0488"/>
    <w:rsid w:val="0A402A36"/>
    <w:rsid w:val="0A4236A3"/>
    <w:rsid w:val="0A4E7EF5"/>
    <w:rsid w:val="0A646846"/>
    <w:rsid w:val="0A656885"/>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9739A"/>
    <w:rsid w:val="0BCB7BF7"/>
    <w:rsid w:val="0BCC4043"/>
    <w:rsid w:val="0BCC4B6A"/>
    <w:rsid w:val="0BDA6061"/>
    <w:rsid w:val="0BE2291A"/>
    <w:rsid w:val="0C1E494F"/>
    <w:rsid w:val="0C3128FC"/>
    <w:rsid w:val="0C3427D0"/>
    <w:rsid w:val="0C34372E"/>
    <w:rsid w:val="0C43327D"/>
    <w:rsid w:val="0C4426AF"/>
    <w:rsid w:val="0C453647"/>
    <w:rsid w:val="0C4577EC"/>
    <w:rsid w:val="0C4F3B0E"/>
    <w:rsid w:val="0C4F7881"/>
    <w:rsid w:val="0C5C6396"/>
    <w:rsid w:val="0C63431B"/>
    <w:rsid w:val="0C650A20"/>
    <w:rsid w:val="0C690EFA"/>
    <w:rsid w:val="0C6E11B8"/>
    <w:rsid w:val="0C723CD1"/>
    <w:rsid w:val="0C825F28"/>
    <w:rsid w:val="0C8B63A3"/>
    <w:rsid w:val="0CB94808"/>
    <w:rsid w:val="0CC146A9"/>
    <w:rsid w:val="0CC37BC2"/>
    <w:rsid w:val="0CC4563C"/>
    <w:rsid w:val="0CD87ABE"/>
    <w:rsid w:val="0CE26C42"/>
    <w:rsid w:val="0CE632FF"/>
    <w:rsid w:val="0CE76B48"/>
    <w:rsid w:val="0CEB5DBE"/>
    <w:rsid w:val="0CFB523A"/>
    <w:rsid w:val="0D074D4A"/>
    <w:rsid w:val="0D0A3371"/>
    <w:rsid w:val="0D17377F"/>
    <w:rsid w:val="0D1B1E9C"/>
    <w:rsid w:val="0D4B44A1"/>
    <w:rsid w:val="0D6811B4"/>
    <w:rsid w:val="0D6E2620"/>
    <w:rsid w:val="0D704E21"/>
    <w:rsid w:val="0D7559C6"/>
    <w:rsid w:val="0D7F48FE"/>
    <w:rsid w:val="0D883C88"/>
    <w:rsid w:val="0D936E72"/>
    <w:rsid w:val="0D966BF7"/>
    <w:rsid w:val="0DB54F84"/>
    <w:rsid w:val="0DCC3AE8"/>
    <w:rsid w:val="0DD87842"/>
    <w:rsid w:val="0DEC4E03"/>
    <w:rsid w:val="0DEF012A"/>
    <w:rsid w:val="0DF202E1"/>
    <w:rsid w:val="0DF53CE3"/>
    <w:rsid w:val="0E0961C5"/>
    <w:rsid w:val="0E147898"/>
    <w:rsid w:val="0E2F216B"/>
    <w:rsid w:val="0E2F2859"/>
    <w:rsid w:val="0E3352C6"/>
    <w:rsid w:val="0E3A5EE2"/>
    <w:rsid w:val="0E3C0F13"/>
    <w:rsid w:val="0E542F3B"/>
    <w:rsid w:val="0E5757F7"/>
    <w:rsid w:val="0E5A14B8"/>
    <w:rsid w:val="0E6271DF"/>
    <w:rsid w:val="0E782336"/>
    <w:rsid w:val="0E81568A"/>
    <w:rsid w:val="0E942250"/>
    <w:rsid w:val="0E963344"/>
    <w:rsid w:val="0E9E6E00"/>
    <w:rsid w:val="0EA40C1C"/>
    <w:rsid w:val="0EAF381F"/>
    <w:rsid w:val="0EB1120F"/>
    <w:rsid w:val="0EB72E4B"/>
    <w:rsid w:val="0EC80AE4"/>
    <w:rsid w:val="0ED808FC"/>
    <w:rsid w:val="0EEC6F1D"/>
    <w:rsid w:val="0F103291"/>
    <w:rsid w:val="0F15660A"/>
    <w:rsid w:val="0F1D498B"/>
    <w:rsid w:val="0F1E7CA0"/>
    <w:rsid w:val="0F22242C"/>
    <w:rsid w:val="0F337178"/>
    <w:rsid w:val="0F3B15FC"/>
    <w:rsid w:val="0F41022A"/>
    <w:rsid w:val="0F442498"/>
    <w:rsid w:val="0F56743B"/>
    <w:rsid w:val="0F60682C"/>
    <w:rsid w:val="0F6763D9"/>
    <w:rsid w:val="0F715B2B"/>
    <w:rsid w:val="0F744211"/>
    <w:rsid w:val="0F764270"/>
    <w:rsid w:val="0F7F273F"/>
    <w:rsid w:val="0F8418ED"/>
    <w:rsid w:val="0F957B47"/>
    <w:rsid w:val="0F98796C"/>
    <w:rsid w:val="0F9F6FA4"/>
    <w:rsid w:val="0FA461A5"/>
    <w:rsid w:val="0FA65D5C"/>
    <w:rsid w:val="0FAA75F1"/>
    <w:rsid w:val="0FAD33DA"/>
    <w:rsid w:val="0FBE2A42"/>
    <w:rsid w:val="0FBF496F"/>
    <w:rsid w:val="0FC17CCE"/>
    <w:rsid w:val="0FC30A3B"/>
    <w:rsid w:val="0FC424B9"/>
    <w:rsid w:val="0FD70565"/>
    <w:rsid w:val="0FEB2F72"/>
    <w:rsid w:val="0FEC680C"/>
    <w:rsid w:val="10007AD6"/>
    <w:rsid w:val="10165177"/>
    <w:rsid w:val="101B1E8A"/>
    <w:rsid w:val="101C4A03"/>
    <w:rsid w:val="101D0C86"/>
    <w:rsid w:val="103005B7"/>
    <w:rsid w:val="104A023B"/>
    <w:rsid w:val="10501493"/>
    <w:rsid w:val="10505F3B"/>
    <w:rsid w:val="106319D6"/>
    <w:rsid w:val="10677613"/>
    <w:rsid w:val="106D2686"/>
    <w:rsid w:val="107C3E2C"/>
    <w:rsid w:val="107D41AE"/>
    <w:rsid w:val="108C2479"/>
    <w:rsid w:val="109825ED"/>
    <w:rsid w:val="10C715C5"/>
    <w:rsid w:val="10D335EF"/>
    <w:rsid w:val="10E746EA"/>
    <w:rsid w:val="10E83FE0"/>
    <w:rsid w:val="10EC3168"/>
    <w:rsid w:val="10EE449D"/>
    <w:rsid w:val="10F52718"/>
    <w:rsid w:val="11124F2E"/>
    <w:rsid w:val="11125358"/>
    <w:rsid w:val="111F6CBE"/>
    <w:rsid w:val="112D2A42"/>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666FE"/>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64C08"/>
    <w:rsid w:val="12C7312B"/>
    <w:rsid w:val="12D22971"/>
    <w:rsid w:val="12D85654"/>
    <w:rsid w:val="12DF4A87"/>
    <w:rsid w:val="12E265EC"/>
    <w:rsid w:val="12E706B5"/>
    <w:rsid w:val="12EE5106"/>
    <w:rsid w:val="12F777F2"/>
    <w:rsid w:val="1307341C"/>
    <w:rsid w:val="130909CE"/>
    <w:rsid w:val="130C40FE"/>
    <w:rsid w:val="130E3629"/>
    <w:rsid w:val="131B39DD"/>
    <w:rsid w:val="13241CB2"/>
    <w:rsid w:val="13283BA4"/>
    <w:rsid w:val="13332F77"/>
    <w:rsid w:val="13334E1C"/>
    <w:rsid w:val="13346EE4"/>
    <w:rsid w:val="13384952"/>
    <w:rsid w:val="13410715"/>
    <w:rsid w:val="134D0F27"/>
    <w:rsid w:val="1355107F"/>
    <w:rsid w:val="135D4D2E"/>
    <w:rsid w:val="1366638D"/>
    <w:rsid w:val="1369011A"/>
    <w:rsid w:val="136D76E8"/>
    <w:rsid w:val="137266E0"/>
    <w:rsid w:val="13811975"/>
    <w:rsid w:val="138E520C"/>
    <w:rsid w:val="139427E2"/>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53459"/>
    <w:rsid w:val="14E60B42"/>
    <w:rsid w:val="14EA1C4D"/>
    <w:rsid w:val="14EF0267"/>
    <w:rsid w:val="150222BF"/>
    <w:rsid w:val="150F7C33"/>
    <w:rsid w:val="151178FC"/>
    <w:rsid w:val="1515004B"/>
    <w:rsid w:val="151B7C99"/>
    <w:rsid w:val="15207BBA"/>
    <w:rsid w:val="15222DA1"/>
    <w:rsid w:val="152F4E1B"/>
    <w:rsid w:val="15416308"/>
    <w:rsid w:val="154D342A"/>
    <w:rsid w:val="1559587F"/>
    <w:rsid w:val="15740334"/>
    <w:rsid w:val="1574662E"/>
    <w:rsid w:val="15751882"/>
    <w:rsid w:val="1575191B"/>
    <w:rsid w:val="157818C6"/>
    <w:rsid w:val="159F15E6"/>
    <w:rsid w:val="159F73BB"/>
    <w:rsid w:val="15A74F1D"/>
    <w:rsid w:val="15B03F28"/>
    <w:rsid w:val="15C15E25"/>
    <w:rsid w:val="15C42571"/>
    <w:rsid w:val="15E30A80"/>
    <w:rsid w:val="15F334EC"/>
    <w:rsid w:val="15FD2FA2"/>
    <w:rsid w:val="1608480E"/>
    <w:rsid w:val="161C1C58"/>
    <w:rsid w:val="16291E34"/>
    <w:rsid w:val="162D7415"/>
    <w:rsid w:val="162F7556"/>
    <w:rsid w:val="163814FD"/>
    <w:rsid w:val="16413A3A"/>
    <w:rsid w:val="1644500C"/>
    <w:rsid w:val="16461A95"/>
    <w:rsid w:val="16594F06"/>
    <w:rsid w:val="165A38E6"/>
    <w:rsid w:val="166F5E80"/>
    <w:rsid w:val="16766A92"/>
    <w:rsid w:val="16775081"/>
    <w:rsid w:val="167A52A9"/>
    <w:rsid w:val="167B20D8"/>
    <w:rsid w:val="167B7B40"/>
    <w:rsid w:val="167C6594"/>
    <w:rsid w:val="16833ACA"/>
    <w:rsid w:val="16866882"/>
    <w:rsid w:val="16872167"/>
    <w:rsid w:val="16895E32"/>
    <w:rsid w:val="168F69F2"/>
    <w:rsid w:val="169C7FDE"/>
    <w:rsid w:val="16A331E4"/>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17ED6"/>
    <w:rsid w:val="1738730F"/>
    <w:rsid w:val="17416499"/>
    <w:rsid w:val="17481B81"/>
    <w:rsid w:val="17481E8B"/>
    <w:rsid w:val="174A69B0"/>
    <w:rsid w:val="174E36D1"/>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65848"/>
    <w:rsid w:val="17E66DD8"/>
    <w:rsid w:val="17E84839"/>
    <w:rsid w:val="17EE1403"/>
    <w:rsid w:val="17F25234"/>
    <w:rsid w:val="17FD061B"/>
    <w:rsid w:val="17FD20FD"/>
    <w:rsid w:val="17FF6314"/>
    <w:rsid w:val="18003E3E"/>
    <w:rsid w:val="18005F41"/>
    <w:rsid w:val="18025414"/>
    <w:rsid w:val="18167041"/>
    <w:rsid w:val="18171305"/>
    <w:rsid w:val="1829280B"/>
    <w:rsid w:val="18334194"/>
    <w:rsid w:val="183E1D37"/>
    <w:rsid w:val="184D0787"/>
    <w:rsid w:val="185D1883"/>
    <w:rsid w:val="185E3AA1"/>
    <w:rsid w:val="18601A95"/>
    <w:rsid w:val="18717152"/>
    <w:rsid w:val="18812331"/>
    <w:rsid w:val="18816F1C"/>
    <w:rsid w:val="18847050"/>
    <w:rsid w:val="18853F3E"/>
    <w:rsid w:val="188F3639"/>
    <w:rsid w:val="18917CF5"/>
    <w:rsid w:val="18956393"/>
    <w:rsid w:val="18A22DF7"/>
    <w:rsid w:val="18A8582C"/>
    <w:rsid w:val="18B50543"/>
    <w:rsid w:val="18CA40C3"/>
    <w:rsid w:val="18CD7A02"/>
    <w:rsid w:val="18D904AC"/>
    <w:rsid w:val="18E7442B"/>
    <w:rsid w:val="18F94206"/>
    <w:rsid w:val="19001FFC"/>
    <w:rsid w:val="19083894"/>
    <w:rsid w:val="190E2B4A"/>
    <w:rsid w:val="19256D7A"/>
    <w:rsid w:val="1927667A"/>
    <w:rsid w:val="192E3D6E"/>
    <w:rsid w:val="193275C2"/>
    <w:rsid w:val="19342CF4"/>
    <w:rsid w:val="193A500F"/>
    <w:rsid w:val="193B3E86"/>
    <w:rsid w:val="194D2005"/>
    <w:rsid w:val="19655A52"/>
    <w:rsid w:val="19663168"/>
    <w:rsid w:val="197724BD"/>
    <w:rsid w:val="19786B0A"/>
    <w:rsid w:val="198A41A1"/>
    <w:rsid w:val="199A2059"/>
    <w:rsid w:val="19AE76C7"/>
    <w:rsid w:val="19B46E10"/>
    <w:rsid w:val="19C1344A"/>
    <w:rsid w:val="19C456C1"/>
    <w:rsid w:val="19E256B5"/>
    <w:rsid w:val="19E31BCE"/>
    <w:rsid w:val="19E54655"/>
    <w:rsid w:val="19F061A1"/>
    <w:rsid w:val="1A054259"/>
    <w:rsid w:val="1A081816"/>
    <w:rsid w:val="1A0C5680"/>
    <w:rsid w:val="1A165171"/>
    <w:rsid w:val="1A300FA7"/>
    <w:rsid w:val="1A3068A4"/>
    <w:rsid w:val="1A464B4E"/>
    <w:rsid w:val="1A4858FF"/>
    <w:rsid w:val="1A4C698A"/>
    <w:rsid w:val="1A4D778D"/>
    <w:rsid w:val="1A5048C3"/>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E93611"/>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4002"/>
    <w:rsid w:val="1BB07CEA"/>
    <w:rsid w:val="1BB441C7"/>
    <w:rsid w:val="1BBD43BA"/>
    <w:rsid w:val="1BC01115"/>
    <w:rsid w:val="1BC44015"/>
    <w:rsid w:val="1BCA6284"/>
    <w:rsid w:val="1BCC6C47"/>
    <w:rsid w:val="1BCD3C69"/>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04D40"/>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CFB7CF4"/>
    <w:rsid w:val="1D037029"/>
    <w:rsid w:val="1D0A6B98"/>
    <w:rsid w:val="1D3305FF"/>
    <w:rsid w:val="1D395282"/>
    <w:rsid w:val="1D4251BA"/>
    <w:rsid w:val="1D5B2FF2"/>
    <w:rsid w:val="1D5F5386"/>
    <w:rsid w:val="1D7072CE"/>
    <w:rsid w:val="1D794A16"/>
    <w:rsid w:val="1D8A021B"/>
    <w:rsid w:val="1D9E080A"/>
    <w:rsid w:val="1D9E30A9"/>
    <w:rsid w:val="1DAB1006"/>
    <w:rsid w:val="1DAB2A0A"/>
    <w:rsid w:val="1DB33C11"/>
    <w:rsid w:val="1DC1473D"/>
    <w:rsid w:val="1DC65562"/>
    <w:rsid w:val="1DD34749"/>
    <w:rsid w:val="1DDD201B"/>
    <w:rsid w:val="1DE94164"/>
    <w:rsid w:val="1DEE1B11"/>
    <w:rsid w:val="1E105A20"/>
    <w:rsid w:val="1E164B52"/>
    <w:rsid w:val="1E1B471E"/>
    <w:rsid w:val="1E273844"/>
    <w:rsid w:val="1E2F243E"/>
    <w:rsid w:val="1E3B4F6B"/>
    <w:rsid w:val="1E455D19"/>
    <w:rsid w:val="1E595CAF"/>
    <w:rsid w:val="1E5C31E8"/>
    <w:rsid w:val="1E6607F9"/>
    <w:rsid w:val="1E691070"/>
    <w:rsid w:val="1E7A2E8E"/>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849A2"/>
    <w:rsid w:val="1F3E662A"/>
    <w:rsid w:val="1F4F2219"/>
    <w:rsid w:val="1F614D01"/>
    <w:rsid w:val="1F721405"/>
    <w:rsid w:val="1F935819"/>
    <w:rsid w:val="1FA6556D"/>
    <w:rsid w:val="1FAF2571"/>
    <w:rsid w:val="1FC55EDA"/>
    <w:rsid w:val="1FCE593C"/>
    <w:rsid w:val="1FE312AC"/>
    <w:rsid w:val="1FEC5915"/>
    <w:rsid w:val="1FED32EF"/>
    <w:rsid w:val="1FF82884"/>
    <w:rsid w:val="201E6D7C"/>
    <w:rsid w:val="20320DD3"/>
    <w:rsid w:val="20446081"/>
    <w:rsid w:val="204852AD"/>
    <w:rsid w:val="204A6449"/>
    <w:rsid w:val="204E6676"/>
    <w:rsid w:val="205230A0"/>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35A8"/>
    <w:rsid w:val="21124D15"/>
    <w:rsid w:val="21164A79"/>
    <w:rsid w:val="211C7DEA"/>
    <w:rsid w:val="213844A1"/>
    <w:rsid w:val="213B13E1"/>
    <w:rsid w:val="213E7119"/>
    <w:rsid w:val="21401C29"/>
    <w:rsid w:val="21530058"/>
    <w:rsid w:val="21567D84"/>
    <w:rsid w:val="216608E3"/>
    <w:rsid w:val="21810744"/>
    <w:rsid w:val="218D6EF5"/>
    <w:rsid w:val="2195668B"/>
    <w:rsid w:val="219F69EC"/>
    <w:rsid w:val="21A130EA"/>
    <w:rsid w:val="21AD2FE9"/>
    <w:rsid w:val="21B5366A"/>
    <w:rsid w:val="21C267BF"/>
    <w:rsid w:val="21CD6BCD"/>
    <w:rsid w:val="21CE6067"/>
    <w:rsid w:val="21CF439A"/>
    <w:rsid w:val="21D824E4"/>
    <w:rsid w:val="21F00127"/>
    <w:rsid w:val="21F7745C"/>
    <w:rsid w:val="22163676"/>
    <w:rsid w:val="221D2FA3"/>
    <w:rsid w:val="2226635F"/>
    <w:rsid w:val="222D4F0B"/>
    <w:rsid w:val="223A29CF"/>
    <w:rsid w:val="223D7545"/>
    <w:rsid w:val="22411D14"/>
    <w:rsid w:val="22423BE1"/>
    <w:rsid w:val="22454449"/>
    <w:rsid w:val="22500810"/>
    <w:rsid w:val="225D0B63"/>
    <w:rsid w:val="226347BD"/>
    <w:rsid w:val="22682935"/>
    <w:rsid w:val="227E7CD6"/>
    <w:rsid w:val="228A4698"/>
    <w:rsid w:val="22925971"/>
    <w:rsid w:val="22943633"/>
    <w:rsid w:val="22945167"/>
    <w:rsid w:val="229B0BE2"/>
    <w:rsid w:val="22A55CD5"/>
    <w:rsid w:val="22C558BB"/>
    <w:rsid w:val="22C74EE2"/>
    <w:rsid w:val="22CB6237"/>
    <w:rsid w:val="22CD14B5"/>
    <w:rsid w:val="22E02C6E"/>
    <w:rsid w:val="22E04FF4"/>
    <w:rsid w:val="22E1121B"/>
    <w:rsid w:val="22E80B63"/>
    <w:rsid w:val="22EA4C70"/>
    <w:rsid w:val="22EC26FB"/>
    <w:rsid w:val="22F15AB9"/>
    <w:rsid w:val="22F52016"/>
    <w:rsid w:val="22F75251"/>
    <w:rsid w:val="22F86F75"/>
    <w:rsid w:val="22FB4D32"/>
    <w:rsid w:val="22FC72E3"/>
    <w:rsid w:val="23106C6B"/>
    <w:rsid w:val="23131055"/>
    <w:rsid w:val="232C2DD6"/>
    <w:rsid w:val="233C6F76"/>
    <w:rsid w:val="234449F5"/>
    <w:rsid w:val="23536618"/>
    <w:rsid w:val="236C1BCA"/>
    <w:rsid w:val="237464D5"/>
    <w:rsid w:val="23816932"/>
    <w:rsid w:val="23866407"/>
    <w:rsid w:val="23915A4A"/>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A96429"/>
    <w:rsid w:val="24B9450F"/>
    <w:rsid w:val="24C25350"/>
    <w:rsid w:val="24C83F94"/>
    <w:rsid w:val="24C84F1F"/>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647BF"/>
    <w:rsid w:val="25691F8B"/>
    <w:rsid w:val="256E76DE"/>
    <w:rsid w:val="25726706"/>
    <w:rsid w:val="25734B61"/>
    <w:rsid w:val="258F6BC4"/>
    <w:rsid w:val="2597510C"/>
    <w:rsid w:val="25975923"/>
    <w:rsid w:val="259A3D0A"/>
    <w:rsid w:val="25A95F3E"/>
    <w:rsid w:val="25BF0CF9"/>
    <w:rsid w:val="25BF6041"/>
    <w:rsid w:val="25C35718"/>
    <w:rsid w:val="25C61D8C"/>
    <w:rsid w:val="25C8433B"/>
    <w:rsid w:val="25CF0252"/>
    <w:rsid w:val="25D0248E"/>
    <w:rsid w:val="25D61C5C"/>
    <w:rsid w:val="25F81D70"/>
    <w:rsid w:val="25FB5636"/>
    <w:rsid w:val="25FE58A9"/>
    <w:rsid w:val="26006FFE"/>
    <w:rsid w:val="26026DCF"/>
    <w:rsid w:val="26070462"/>
    <w:rsid w:val="260C70BF"/>
    <w:rsid w:val="260D2C45"/>
    <w:rsid w:val="262E3CBF"/>
    <w:rsid w:val="26395C92"/>
    <w:rsid w:val="2641231E"/>
    <w:rsid w:val="264252DF"/>
    <w:rsid w:val="26465DA0"/>
    <w:rsid w:val="26562F1C"/>
    <w:rsid w:val="265A5249"/>
    <w:rsid w:val="26616958"/>
    <w:rsid w:val="266237C3"/>
    <w:rsid w:val="267550B9"/>
    <w:rsid w:val="26945790"/>
    <w:rsid w:val="26A97E18"/>
    <w:rsid w:val="26BA0454"/>
    <w:rsid w:val="26BE1846"/>
    <w:rsid w:val="26C472EC"/>
    <w:rsid w:val="26C976F9"/>
    <w:rsid w:val="26CC63A2"/>
    <w:rsid w:val="26E51F4F"/>
    <w:rsid w:val="26EC491A"/>
    <w:rsid w:val="26ED73E1"/>
    <w:rsid w:val="26F503CD"/>
    <w:rsid w:val="27036506"/>
    <w:rsid w:val="27047832"/>
    <w:rsid w:val="2706037D"/>
    <w:rsid w:val="270D152E"/>
    <w:rsid w:val="27204B5D"/>
    <w:rsid w:val="27257DE1"/>
    <w:rsid w:val="272F31A0"/>
    <w:rsid w:val="27310CAC"/>
    <w:rsid w:val="27342901"/>
    <w:rsid w:val="273D2762"/>
    <w:rsid w:val="273D5D0B"/>
    <w:rsid w:val="27470B72"/>
    <w:rsid w:val="2747214F"/>
    <w:rsid w:val="27525E32"/>
    <w:rsid w:val="275359B6"/>
    <w:rsid w:val="27604751"/>
    <w:rsid w:val="276D111F"/>
    <w:rsid w:val="2778582E"/>
    <w:rsid w:val="27806765"/>
    <w:rsid w:val="27821DE7"/>
    <w:rsid w:val="27832596"/>
    <w:rsid w:val="278C1620"/>
    <w:rsid w:val="279B1E53"/>
    <w:rsid w:val="27AA3521"/>
    <w:rsid w:val="27AB7429"/>
    <w:rsid w:val="27B40ACB"/>
    <w:rsid w:val="27BE2941"/>
    <w:rsid w:val="27C46B1C"/>
    <w:rsid w:val="27C57B2B"/>
    <w:rsid w:val="27C8029E"/>
    <w:rsid w:val="27CC78AC"/>
    <w:rsid w:val="27D72FE7"/>
    <w:rsid w:val="27D86029"/>
    <w:rsid w:val="27DD45ED"/>
    <w:rsid w:val="27DF41DE"/>
    <w:rsid w:val="27E3651B"/>
    <w:rsid w:val="27E864CC"/>
    <w:rsid w:val="27EC25E3"/>
    <w:rsid w:val="27ED0939"/>
    <w:rsid w:val="27F1498B"/>
    <w:rsid w:val="27F47299"/>
    <w:rsid w:val="27F80CA0"/>
    <w:rsid w:val="28027A71"/>
    <w:rsid w:val="281D5376"/>
    <w:rsid w:val="281F4F67"/>
    <w:rsid w:val="282665C5"/>
    <w:rsid w:val="282857E6"/>
    <w:rsid w:val="283412EF"/>
    <w:rsid w:val="283744B4"/>
    <w:rsid w:val="283E7768"/>
    <w:rsid w:val="28485D62"/>
    <w:rsid w:val="28517107"/>
    <w:rsid w:val="28524ABE"/>
    <w:rsid w:val="285560D7"/>
    <w:rsid w:val="285729E6"/>
    <w:rsid w:val="286E74F1"/>
    <w:rsid w:val="28760CA0"/>
    <w:rsid w:val="287B218C"/>
    <w:rsid w:val="288A05DD"/>
    <w:rsid w:val="288C7637"/>
    <w:rsid w:val="28937D89"/>
    <w:rsid w:val="289B0550"/>
    <w:rsid w:val="28BD3F79"/>
    <w:rsid w:val="28C8606D"/>
    <w:rsid w:val="28C96C14"/>
    <w:rsid w:val="28DE11F1"/>
    <w:rsid w:val="28E138E3"/>
    <w:rsid w:val="28E74216"/>
    <w:rsid w:val="28E87EE4"/>
    <w:rsid w:val="28EE1AFF"/>
    <w:rsid w:val="290212AC"/>
    <w:rsid w:val="2903396A"/>
    <w:rsid w:val="29086A76"/>
    <w:rsid w:val="294D775A"/>
    <w:rsid w:val="294E766A"/>
    <w:rsid w:val="29502116"/>
    <w:rsid w:val="2952590A"/>
    <w:rsid w:val="297161D3"/>
    <w:rsid w:val="2978319A"/>
    <w:rsid w:val="29885982"/>
    <w:rsid w:val="29886D49"/>
    <w:rsid w:val="29897A2F"/>
    <w:rsid w:val="299114C1"/>
    <w:rsid w:val="29A015B3"/>
    <w:rsid w:val="29A02DFF"/>
    <w:rsid w:val="29A3014B"/>
    <w:rsid w:val="29A74CBD"/>
    <w:rsid w:val="29A80BF5"/>
    <w:rsid w:val="29B01C34"/>
    <w:rsid w:val="29B16357"/>
    <w:rsid w:val="29BA0D88"/>
    <w:rsid w:val="29BB3E72"/>
    <w:rsid w:val="29CF32B2"/>
    <w:rsid w:val="29DE15A2"/>
    <w:rsid w:val="29E52B9B"/>
    <w:rsid w:val="29EC475A"/>
    <w:rsid w:val="29EF3680"/>
    <w:rsid w:val="29EF424E"/>
    <w:rsid w:val="29FA7F26"/>
    <w:rsid w:val="2A0B7871"/>
    <w:rsid w:val="2A166823"/>
    <w:rsid w:val="2A1D7380"/>
    <w:rsid w:val="2A281D4E"/>
    <w:rsid w:val="2A35650F"/>
    <w:rsid w:val="2A405845"/>
    <w:rsid w:val="2A4562D4"/>
    <w:rsid w:val="2A4D593F"/>
    <w:rsid w:val="2A6C2D77"/>
    <w:rsid w:val="2A6E31F8"/>
    <w:rsid w:val="2A7270B7"/>
    <w:rsid w:val="2A87174E"/>
    <w:rsid w:val="2A8A2F9C"/>
    <w:rsid w:val="2A917BFC"/>
    <w:rsid w:val="2AA33701"/>
    <w:rsid w:val="2AA45D17"/>
    <w:rsid w:val="2AAB3B94"/>
    <w:rsid w:val="2AAC5A06"/>
    <w:rsid w:val="2ABB3D6F"/>
    <w:rsid w:val="2AC70B30"/>
    <w:rsid w:val="2ACC2AAF"/>
    <w:rsid w:val="2AD26C78"/>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B0D49"/>
    <w:rsid w:val="2B5E6C2A"/>
    <w:rsid w:val="2B637D4B"/>
    <w:rsid w:val="2B6B1684"/>
    <w:rsid w:val="2B7B70BF"/>
    <w:rsid w:val="2B853AF3"/>
    <w:rsid w:val="2B8B422C"/>
    <w:rsid w:val="2BA07D38"/>
    <w:rsid w:val="2BAB2B55"/>
    <w:rsid w:val="2BC40957"/>
    <w:rsid w:val="2BCB5DAA"/>
    <w:rsid w:val="2BD65380"/>
    <w:rsid w:val="2BD86372"/>
    <w:rsid w:val="2BDA39FD"/>
    <w:rsid w:val="2BE725D0"/>
    <w:rsid w:val="2BF369B9"/>
    <w:rsid w:val="2BFC0A4A"/>
    <w:rsid w:val="2C094904"/>
    <w:rsid w:val="2C0E55A1"/>
    <w:rsid w:val="2C2C0AC3"/>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CEF7A51"/>
    <w:rsid w:val="2D026315"/>
    <w:rsid w:val="2D0764BD"/>
    <w:rsid w:val="2D0A3DA2"/>
    <w:rsid w:val="2D0B3169"/>
    <w:rsid w:val="2D0D4219"/>
    <w:rsid w:val="2D105AFA"/>
    <w:rsid w:val="2D2279B8"/>
    <w:rsid w:val="2D241EC9"/>
    <w:rsid w:val="2D274320"/>
    <w:rsid w:val="2D2D2DE2"/>
    <w:rsid w:val="2D324CCC"/>
    <w:rsid w:val="2D340E86"/>
    <w:rsid w:val="2D395427"/>
    <w:rsid w:val="2D3D0E02"/>
    <w:rsid w:val="2D5436FA"/>
    <w:rsid w:val="2D576534"/>
    <w:rsid w:val="2D59263A"/>
    <w:rsid w:val="2D620933"/>
    <w:rsid w:val="2D62469E"/>
    <w:rsid w:val="2D6B40A9"/>
    <w:rsid w:val="2D8A3FA2"/>
    <w:rsid w:val="2D910146"/>
    <w:rsid w:val="2D9767DC"/>
    <w:rsid w:val="2D980DDC"/>
    <w:rsid w:val="2D987372"/>
    <w:rsid w:val="2DA23689"/>
    <w:rsid w:val="2DBC2A76"/>
    <w:rsid w:val="2DBD126E"/>
    <w:rsid w:val="2DC20BE9"/>
    <w:rsid w:val="2DC66A91"/>
    <w:rsid w:val="2DC92AA1"/>
    <w:rsid w:val="2DCE5F69"/>
    <w:rsid w:val="2DD51812"/>
    <w:rsid w:val="2DD63DB4"/>
    <w:rsid w:val="2DDD4F0A"/>
    <w:rsid w:val="2E147A92"/>
    <w:rsid w:val="2E1942E6"/>
    <w:rsid w:val="2E34792A"/>
    <w:rsid w:val="2E415DD8"/>
    <w:rsid w:val="2E437E73"/>
    <w:rsid w:val="2E453016"/>
    <w:rsid w:val="2E4A5201"/>
    <w:rsid w:val="2E5034DC"/>
    <w:rsid w:val="2E572AB9"/>
    <w:rsid w:val="2E6C1B62"/>
    <w:rsid w:val="2E7258DC"/>
    <w:rsid w:val="2E7545D2"/>
    <w:rsid w:val="2E79458E"/>
    <w:rsid w:val="2E797A78"/>
    <w:rsid w:val="2E7A5F31"/>
    <w:rsid w:val="2E7C6A94"/>
    <w:rsid w:val="2E8321A5"/>
    <w:rsid w:val="2E882F25"/>
    <w:rsid w:val="2E8D14A8"/>
    <w:rsid w:val="2E95430E"/>
    <w:rsid w:val="2E9F6D95"/>
    <w:rsid w:val="2EAE350B"/>
    <w:rsid w:val="2EB20A6C"/>
    <w:rsid w:val="2EBC2287"/>
    <w:rsid w:val="2EC3466D"/>
    <w:rsid w:val="2EC44440"/>
    <w:rsid w:val="2ECA3116"/>
    <w:rsid w:val="2EDC7B3B"/>
    <w:rsid w:val="2EDD7896"/>
    <w:rsid w:val="2EEA6E65"/>
    <w:rsid w:val="2EF33C7C"/>
    <w:rsid w:val="2F00052B"/>
    <w:rsid w:val="2F0367CD"/>
    <w:rsid w:val="2F1251F2"/>
    <w:rsid w:val="2F2D445E"/>
    <w:rsid w:val="2F4205B6"/>
    <w:rsid w:val="2F4B20A5"/>
    <w:rsid w:val="2F4F6FBB"/>
    <w:rsid w:val="2F664E2B"/>
    <w:rsid w:val="2F6C7BE3"/>
    <w:rsid w:val="2F783485"/>
    <w:rsid w:val="2F7A17CB"/>
    <w:rsid w:val="2F7F5C0B"/>
    <w:rsid w:val="2FA6492D"/>
    <w:rsid w:val="2FC86676"/>
    <w:rsid w:val="2FD17A1B"/>
    <w:rsid w:val="2FD71CA4"/>
    <w:rsid w:val="2FDC4A8D"/>
    <w:rsid w:val="2FEA743A"/>
    <w:rsid w:val="2FF24D11"/>
    <w:rsid w:val="2FF93066"/>
    <w:rsid w:val="300D2E03"/>
    <w:rsid w:val="301742B2"/>
    <w:rsid w:val="301A1509"/>
    <w:rsid w:val="301A71CE"/>
    <w:rsid w:val="301D63DD"/>
    <w:rsid w:val="301E049B"/>
    <w:rsid w:val="302A4BE6"/>
    <w:rsid w:val="303E0D88"/>
    <w:rsid w:val="304478EC"/>
    <w:rsid w:val="304F4511"/>
    <w:rsid w:val="30515C8E"/>
    <w:rsid w:val="305823FF"/>
    <w:rsid w:val="306D198B"/>
    <w:rsid w:val="30926F91"/>
    <w:rsid w:val="30962F3E"/>
    <w:rsid w:val="30A85733"/>
    <w:rsid w:val="30AA2585"/>
    <w:rsid w:val="30B07FAB"/>
    <w:rsid w:val="30C16A19"/>
    <w:rsid w:val="30C262B6"/>
    <w:rsid w:val="30CB5800"/>
    <w:rsid w:val="30D32236"/>
    <w:rsid w:val="30E43E12"/>
    <w:rsid w:val="30E8513F"/>
    <w:rsid w:val="30FA7530"/>
    <w:rsid w:val="30FF2795"/>
    <w:rsid w:val="31015E30"/>
    <w:rsid w:val="310375CD"/>
    <w:rsid w:val="310854C5"/>
    <w:rsid w:val="310E6387"/>
    <w:rsid w:val="311611B3"/>
    <w:rsid w:val="311F6A53"/>
    <w:rsid w:val="312734EB"/>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51680"/>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9E4826"/>
    <w:rsid w:val="32A145CA"/>
    <w:rsid w:val="32A230DB"/>
    <w:rsid w:val="32AD0CA5"/>
    <w:rsid w:val="32BD5148"/>
    <w:rsid w:val="32C27AB5"/>
    <w:rsid w:val="32DF0647"/>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964FF"/>
    <w:rsid w:val="337D34FB"/>
    <w:rsid w:val="337E2DAF"/>
    <w:rsid w:val="33831AB1"/>
    <w:rsid w:val="33A47053"/>
    <w:rsid w:val="33AD5111"/>
    <w:rsid w:val="33BF4199"/>
    <w:rsid w:val="33CD23A8"/>
    <w:rsid w:val="33CD6498"/>
    <w:rsid w:val="33D7554F"/>
    <w:rsid w:val="33FE62E7"/>
    <w:rsid w:val="340523CF"/>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00879"/>
    <w:rsid w:val="34B43603"/>
    <w:rsid w:val="34BD02AE"/>
    <w:rsid w:val="34C20DC7"/>
    <w:rsid w:val="34D36FFC"/>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B40FF"/>
    <w:rsid w:val="358F6BDF"/>
    <w:rsid w:val="35940A95"/>
    <w:rsid w:val="35992A8A"/>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90D92"/>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6FF127F"/>
    <w:rsid w:val="3708597F"/>
    <w:rsid w:val="3709624C"/>
    <w:rsid w:val="37096815"/>
    <w:rsid w:val="37097A47"/>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B7702"/>
    <w:rsid w:val="379F33FC"/>
    <w:rsid w:val="37A432E4"/>
    <w:rsid w:val="37A86196"/>
    <w:rsid w:val="37B143B8"/>
    <w:rsid w:val="37C94031"/>
    <w:rsid w:val="37CA042E"/>
    <w:rsid w:val="37D44549"/>
    <w:rsid w:val="37D77B09"/>
    <w:rsid w:val="37D97EDE"/>
    <w:rsid w:val="37E76E34"/>
    <w:rsid w:val="3804769B"/>
    <w:rsid w:val="380632B2"/>
    <w:rsid w:val="380D02B1"/>
    <w:rsid w:val="381C3EB1"/>
    <w:rsid w:val="382B1BDF"/>
    <w:rsid w:val="382E392C"/>
    <w:rsid w:val="38342E90"/>
    <w:rsid w:val="383857D1"/>
    <w:rsid w:val="383F4C0F"/>
    <w:rsid w:val="38432A4A"/>
    <w:rsid w:val="38451B7E"/>
    <w:rsid w:val="384B7332"/>
    <w:rsid w:val="385056AF"/>
    <w:rsid w:val="386A7142"/>
    <w:rsid w:val="386E0B2C"/>
    <w:rsid w:val="38706DCB"/>
    <w:rsid w:val="388E5848"/>
    <w:rsid w:val="389E7B13"/>
    <w:rsid w:val="38A341A7"/>
    <w:rsid w:val="38AF6B7E"/>
    <w:rsid w:val="38AF7ADB"/>
    <w:rsid w:val="38BD240C"/>
    <w:rsid w:val="38BD31EE"/>
    <w:rsid w:val="38C05985"/>
    <w:rsid w:val="38C2629A"/>
    <w:rsid w:val="38C84EEC"/>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D51A47"/>
    <w:rsid w:val="39D92CB9"/>
    <w:rsid w:val="39F36281"/>
    <w:rsid w:val="39FD376D"/>
    <w:rsid w:val="39FD6C9C"/>
    <w:rsid w:val="3A0224B9"/>
    <w:rsid w:val="3A14011B"/>
    <w:rsid w:val="3A1509F4"/>
    <w:rsid w:val="3A16728B"/>
    <w:rsid w:val="3A16794C"/>
    <w:rsid w:val="3A1F6809"/>
    <w:rsid w:val="3A226969"/>
    <w:rsid w:val="3A333D65"/>
    <w:rsid w:val="3A3C6FD7"/>
    <w:rsid w:val="3A3F47CE"/>
    <w:rsid w:val="3A496CD5"/>
    <w:rsid w:val="3A4E1C5D"/>
    <w:rsid w:val="3A523735"/>
    <w:rsid w:val="3A557AE4"/>
    <w:rsid w:val="3A6A1C93"/>
    <w:rsid w:val="3A6B0F84"/>
    <w:rsid w:val="3A727435"/>
    <w:rsid w:val="3A813EA6"/>
    <w:rsid w:val="3A94055A"/>
    <w:rsid w:val="3AB00167"/>
    <w:rsid w:val="3ABD44D8"/>
    <w:rsid w:val="3AC17E3A"/>
    <w:rsid w:val="3ACB5746"/>
    <w:rsid w:val="3ACE209E"/>
    <w:rsid w:val="3AD450E7"/>
    <w:rsid w:val="3ADD2B05"/>
    <w:rsid w:val="3AE36EC1"/>
    <w:rsid w:val="3AE417E3"/>
    <w:rsid w:val="3AE440AF"/>
    <w:rsid w:val="3AF7667E"/>
    <w:rsid w:val="3B113F51"/>
    <w:rsid w:val="3B192990"/>
    <w:rsid w:val="3B251957"/>
    <w:rsid w:val="3B2840EC"/>
    <w:rsid w:val="3B2D3716"/>
    <w:rsid w:val="3B307112"/>
    <w:rsid w:val="3B307FDD"/>
    <w:rsid w:val="3B3E5BDD"/>
    <w:rsid w:val="3B552653"/>
    <w:rsid w:val="3B5A2A22"/>
    <w:rsid w:val="3B707794"/>
    <w:rsid w:val="3B7804A3"/>
    <w:rsid w:val="3B8E2153"/>
    <w:rsid w:val="3B9B2072"/>
    <w:rsid w:val="3BA009C3"/>
    <w:rsid w:val="3BA03B83"/>
    <w:rsid w:val="3BA91F03"/>
    <w:rsid w:val="3BB16FA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115DF3"/>
    <w:rsid w:val="3D31576C"/>
    <w:rsid w:val="3D316CDB"/>
    <w:rsid w:val="3D3A3838"/>
    <w:rsid w:val="3D3D6BBD"/>
    <w:rsid w:val="3D450F8C"/>
    <w:rsid w:val="3D477118"/>
    <w:rsid w:val="3D490F48"/>
    <w:rsid w:val="3D51285A"/>
    <w:rsid w:val="3D594E54"/>
    <w:rsid w:val="3D5F3F8D"/>
    <w:rsid w:val="3D607F0F"/>
    <w:rsid w:val="3D62706F"/>
    <w:rsid w:val="3D6E2272"/>
    <w:rsid w:val="3D7C727A"/>
    <w:rsid w:val="3D81786B"/>
    <w:rsid w:val="3D830417"/>
    <w:rsid w:val="3D873EC9"/>
    <w:rsid w:val="3D877AC5"/>
    <w:rsid w:val="3D882D35"/>
    <w:rsid w:val="3D8D2848"/>
    <w:rsid w:val="3D94235D"/>
    <w:rsid w:val="3D9461E1"/>
    <w:rsid w:val="3D9A681B"/>
    <w:rsid w:val="3D9E1818"/>
    <w:rsid w:val="3DAF37B0"/>
    <w:rsid w:val="3DB0358F"/>
    <w:rsid w:val="3DB34E86"/>
    <w:rsid w:val="3DB4514D"/>
    <w:rsid w:val="3DB80A86"/>
    <w:rsid w:val="3DBE6A34"/>
    <w:rsid w:val="3DC00481"/>
    <w:rsid w:val="3DC03EB2"/>
    <w:rsid w:val="3DED0F96"/>
    <w:rsid w:val="3DF95812"/>
    <w:rsid w:val="3E0040D9"/>
    <w:rsid w:val="3E080FFB"/>
    <w:rsid w:val="3E1D4B24"/>
    <w:rsid w:val="3E314520"/>
    <w:rsid w:val="3E3A04FA"/>
    <w:rsid w:val="3E3D6B96"/>
    <w:rsid w:val="3E441C7D"/>
    <w:rsid w:val="3E490256"/>
    <w:rsid w:val="3E4C2EC5"/>
    <w:rsid w:val="3E55739E"/>
    <w:rsid w:val="3E6C43C8"/>
    <w:rsid w:val="3E8227F0"/>
    <w:rsid w:val="3E937F82"/>
    <w:rsid w:val="3E996E92"/>
    <w:rsid w:val="3E9B4B40"/>
    <w:rsid w:val="3EA21C38"/>
    <w:rsid w:val="3EB36EF2"/>
    <w:rsid w:val="3EB71AC8"/>
    <w:rsid w:val="3EC85E34"/>
    <w:rsid w:val="3ECF2AAC"/>
    <w:rsid w:val="3ED0424C"/>
    <w:rsid w:val="3ED07B7E"/>
    <w:rsid w:val="3EF31E7F"/>
    <w:rsid w:val="3EF36DF0"/>
    <w:rsid w:val="3F035EE1"/>
    <w:rsid w:val="3F05062C"/>
    <w:rsid w:val="3F053EF6"/>
    <w:rsid w:val="3F093188"/>
    <w:rsid w:val="3F0C1E13"/>
    <w:rsid w:val="3F173F6B"/>
    <w:rsid w:val="3F1D3CA7"/>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BF5A94"/>
    <w:rsid w:val="3FC36557"/>
    <w:rsid w:val="3FC43CD0"/>
    <w:rsid w:val="3FC956FF"/>
    <w:rsid w:val="3FD13F50"/>
    <w:rsid w:val="3FDC5F31"/>
    <w:rsid w:val="3FE04625"/>
    <w:rsid w:val="3FE43F69"/>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8F3178"/>
    <w:rsid w:val="40A25054"/>
    <w:rsid w:val="40A325E0"/>
    <w:rsid w:val="40AE7A15"/>
    <w:rsid w:val="40B41AE2"/>
    <w:rsid w:val="40B7228C"/>
    <w:rsid w:val="40BD0DA1"/>
    <w:rsid w:val="40EC7D18"/>
    <w:rsid w:val="40ED11A0"/>
    <w:rsid w:val="40FD1BF0"/>
    <w:rsid w:val="41015E92"/>
    <w:rsid w:val="41096BC0"/>
    <w:rsid w:val="410A75B6"/>
    <w:rsid w:val="410B452A"/>
    <w:rsid w:val="41141E59"/>
    <w:rsid w:val="41146D26"/>
    <w:rsid w:val="411B6EDC"/>
    <w:rsid w:val="412E5302"/>
    <w:rsid w:val="413353F1"/>
    <w:rsid w:val="413B37AC"/>
    <w:rsid w:val="414C0B0E"/>
    <w:rsid w:val="41513BC9"/>
    <w:rsid w:val="41735B7F"/>
    <w:rsid w:val="419302E2"/>
    <w:rsid w:val="419E558F"/>
    <w:rsid w:val="419E60D3"/>
    <w:rsid w:val="41A339F5"/>
    <w:rsid w:val="41A36C7E"/>
    <w:rsid w:val="41C45B38"/>
    <w:rsid w:val="41C93F6C"/>
    <w:rsid w:val="41D5139D"/>
    <w:rsid w:val="41D75714"/>
    <w:rsid w:val="41DD3BC3"/>
    <w:rsid w:val="41EA5D0A"/>
    <w:rsid w:val="41EE2F03"/>
    <w:rsid w:val="41F466FD"/>
    <w:rsid w:val="42002BC7"/>
    <w:rsid w:val="42026B03"/>
    <w:rsid w:val="420C60D5"/>
    <w:rsid w:val="420D197F"/>
    <w:rsid w:val="42130DE5"/>
    <w:rsid w:val="421502AC"/>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E674DE"/>
    <w:rsid w:val="42EF7E3D"/>
    <w:rsid w:val="42F17BF5"/>
    <w:rsid w:val="42F87EC9"/>
    <w:rsid w:val="42FA45BF"/>
    <w:rsid w:val="43057E25"/>
    <w:rsid w:val="430E7E66"/>
    <w:rsid w:val="43296963"/>
    <w:rsid w:val="4332317A"/>
    <w:rsid w:val="433246A0"/>
    <w:rsid w:val="433A3905"/>
    <w:rsid w:val="433F6B54"/>
    <w:rsid w:val="4346543A"/>
    <w:rsid w:val="43533E29"/>
    <w:rsid w:val="435B1259"/>
    <w:rsid w:val="436263D5"/>
    <w:rsid w:val="437556C4"/>
    <w:rsid w:val="438000AC"/>
    <w:rsid w:val="4383474C"/>
    <w:rsid w:val="43874CD4"/>
    <w:rsid w:val="439B699F"/>
    <w:rsid w:val="439D3E18"/>
    <w:rsid w:val="43AD5980"/>
    <w:rsid w:val="43AF2D32"/>
    <w:rsid w:val="43B13512"/>
    <w:rsid w:val="43B76E4F"/>
    <w:rsid w:val="43CF0206"/>
    <w:rsid w:val="43D50BA1"/>
    <w:rsid w:val="43D85D6D"/>
    <w:rsid w:val="43EC6F1F"/>
    <w:rsid w:val="43F31867"/>
    <w:rsid w:val="43FE44BA"/>
    <w:rsid w:val="43FE63A7"/>
    <w:rsid w:val="440D5045"/>
    <w:rsid w:val="440F6C97"/>
    <w:rsid w:val="44200EF1"/>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4F17B41"/>
    <w:rsid w:val="4505281D"/>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76523"/>
    <w:rsid w:val="458F5163"/>
    <w:rsid w:val="459405E3"/>
    <w:rsid w:val="459C5A47"/>
    <w:rsid w:val="45A82F38"/>
    <w:rsid w:val="45B047D1"/>
    <w:rsid w:val="45B77545"/>
    <w:rsid w:val="45BE6191"/>
    <w:rsid w:val="45BE648C"/>
    <w:rsid w:val="45C36621"/>
    <w:rsid w:val="45C661BC"/>
    <w:rsid w:val="45CA082F"/>
    <w:rsid w:val="45CD2126"/>
    <w:rsid w:val="45CF358A"/>
    <w:rsid w:val="45DD738A"/>
    <w:rsid w:val="45E372CD"/>
    <w:rsid w:val="45FB2D6A"/>
    <w:rsid w:val="46015310"/>
    <w:rsid w:val="460C5979"/>
    <w:rsid w:val="46110AB3"/>
    <w:rsid w:val="46143B66"/>
    <w:rsid w:val="4615371C"/>
    <w:rsid w:val="46214325"/>
    <w:rsid w:val="462374EC"/>
    <w:rsid w:val="463246EC"/>
    <w:rsid w:val="463425D3"/>
    <w:rsid w:val="463A3547"/>
    <w:rsid w:val="464B28C8"/>
    <w:rsid w:val="464E0973"/>
    <w:rsid w:val="46555DC3"/>
    <w:rsid w:val="46617DB2"/>
    <w:rsid w:val="46621065"/>
    <w:rsid w:val="46665198"/>
    <w:rsid w:val="46697236"/>
    <w:rsid w:val="46770F8B"/>
    <w:rsid w:val="467C16FA"/>
    <w:rsid w:val="46842633"/>
    <w:rsid w:val="46854094"/>
    <w:rsid w:val="46875964"/>
    <w:rsid w:val="46894B18"/>
    <w:rsid w:val="469448C6"/>
    <w:rsid w:val="46AB0067"/>
    <w:rsid w:val="46B80AF8"/>
    <w:rsid w:val="46CB06FF"/>
    <w:rsid w:val="46D269F2"/>
    <w:rsid w:val="46D37F0B"/>
    <w:rsid w:val="46D71533"/>
    <w:rsid w:val="46E53335"/>
    <w:rsid w:val="46E544E3"/>
    <w:rsid w:val="46E87DBA"/>
    <w:rsid w:val="46EB3F4A"/>
    <w:rsid w:val="46EE15F6"/>
    <w:rsid w:val="46EE2CC7"/>
    <w:rsid w:val="46FA7468"/>
    <w:rsid w:val="47072F2B"/>
    <w:rsid w:val="470F7B86"/>
    <w:rsid w:val="47150A32"/>
    <w:rsid w:val="47155D89"/>
    <w:rsid w:val="473069AF"/>
    <w:rsid w:val="47356ECD"/>
    <w:rsid w:val="474A0EAF"/>
    <w:rsid w:val="474E50BE"/>
    <w:rsid w:val="476700F2"/>
    <w:rsid w:val="47696F9C"/>
    <w:rsid w:val="47714F1F"/>
    <w:rsid w:val="47725A17"/>
    <w:rsid w:val="477D3243"/>
    <w:rsid w:val="478821A1"/>
    <w:rsid w:val="479128A9"/>
    <w:rsid w:val="479319F6"/>
    <w:rsid w:val="47975EDC"/>
    <w:rsid w:val="47983B19"/>
    <w:rsid w:val="479E2C8A"/>
    <w:rsid w:val="47A3609D"/>
    <w:rsid w:val="47C01792"/>
    <w:rsid w:val="47C57A48"/>
    <w:rsid w:val="47D511BD"/>
    <w:rsid w:val="4808150F"/>
    <w:rsid w:val="480F51A8"/>
    <w:rsid w:val="481158B0"/>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D67930"/>
    <w:rsid w:val="48DF13DF"/>
    <w:rsid w:val="48E01C77"/>
    <w:rsid w:val="48E22285"/>
    <w:rsid w:val="48E50D90"/>
    <w:rsid w:val="48EB0B49"/>
    <w:rsid w:val="48EB0D16"/>
    <w:rsid w:val="48EF1D28"/>
    <w:rsid w:val="48FA15CC"/>
    <w:rsid w:val="48FF0DD1"/>
    <w:rsid w:val="490F071A"/>
    <w:rsid w:val="491B63DF"/>
    <w:rsid w:val="491D63E9"/>
    <w:rsid w:val="4932285C"/>
    <w:rsid w:val="49331971"/>
    <w:rsid w:val="49384E02"/>
    <w:rsid w:val="493E2F78"/>
    <w:rsid w:val="493F3A9E"/>
    <w:rsid w:val="494D24FC"/>
    <w:rsid w:val="49511FB6"/>
    <w:rsid w:val="495217DF"/>
    <w:rsid w:val="4958367A"/>
    <w:rsid w:val="495F5D3B"/>
    <w:rsid w:val="4960425F"/>
    <w:rsid w:val="498A16CD"/>
    <w:rsid w:val="498A7FB5"/>
    <w:rsid w:val="499145D9"/>
    <w:rsid w:val="49A33C27"/>
    <w:rsid w:val="49A750B5"/>
    <w:rsid w:val="49B93B41"/>
    <w:rsid w:val="49BE07DA"/>
    <w:rsid w:val="49C32414"/>
    <w:rsid w:val="49C84AA0"/>
    <w:rsid w:val="49D135C5"/>
    <w:rsid w:val="49D7694D"/>
    <w:rsid w:val="49D87799"/>
    <w:rsid w:val="49F14E2E"/>
    <w:rsid w:val="4A0244D3"/>
    <w:rsid w:val="4A255046"/>
    <w:rsid w:val="4A2E1525"/>
    <w:rsid w:val="4A5A756D"/>
    <w:rsid w:val="4A722B4C"/>
    <w:rsid w:val="4A785772"/>
    <w:rsid w:val="4A842E43"/>
    <w:rsid w:val="4A886D1D"/>
    <w:rsid w:val="4A89105B"/>
    <w:rsid w:val="4AA341CC"/>
    <w:rsid w:val="4AB530F3"/>
    <w:rsid w:val="4AC13295"/>
    <w:rsid w:val="4AC31003"/>
    <w:rsid w:val="4AC40F4C"/>
    <w:rsid w:val="4AD25F33"/>
    <w:rsid w:val="4AD43476"/>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EF5092"/>
    <w:rsid w:val="4BF32495"/>
    <w:rsid w:val="4BFA3FA2"/>
    <w:rsid w:val="4C1905D9"/>
    <w:rsid w:val="4C2910DF"/>
    <w:rsid w:val="4C2B4DDD"/>
    <w:rsid w:val="4C336177"/>
    <w:rsid w:val="4C433ADD"/>
    <w:rsid w:val="4C447FB2"/>
    <w:rsid w:val="4C471A55"/>
    <w:rsid w:val="4C562920"/>
    <w:rsid w:val="4C5C6CDB"/>
    <w:rsid w:val="4C5D1F92"/>
    <w:rsid w:val="4C603F16"/>
    <w:rsid w:val="4C6262E0"/>
    <w:rsid w:val="4C6703A3"/>
    <w:rsid w:val="4C6D7518"/>
    <w:rsid w:val="4C6F0789"/>
    <w:rsid w:val="4C79282C"/>
    <w:rsid w:val="4C923A72"/>
    <w:rsid w:val="4CB531CC"/>
    <w:rsid w:val="4CB80C32"/>
    <w:rsid w:val="4CB96B0F"/>
    <w:rsid w:val="4CBD582C"/>
    <w:rsid w:val="4CC21369"/>
    <w:rsid w:val="4CCB080E"/>
    <w:rsid w:val="4CE34E9F"/>
    <w:rsid w:val="4CF52D94"/>
    <w:rsid w:val="4D075911"/>
    <w:rsid w:val="4D0C6B0F"/>
    <w:rsid w:val="4D187B99"/>
    <w:rsid w:val="4D1D7E2A"/>
    <w:rsid w:val="4D231A3E"/>
    <w:rsid w:val="4D2822A5"/>
    <w:rsid w:val="4D4001E4"/>
    <w:rsid w:val="4D462159"/>
    <w:rsid w:val="4D47409F"/>
    <w:rsid w:val="4D525BE3"/>
    <w:rsid w:val="4D566017"/>
    <w:rsid w:val="4D6022FC"/>
    <w:rsid w:val="4D7D3EFB"/>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B5319B"/>
    <w:rsid w:val="4ECD2AFD"/>
    <w:rsid w:val="4EDB58B2"/>
    <w:rsid w:val="4EE925CE"/>
    <w:rsid w:val="4EEB1A94"/>
    <w:rsid w:val="4EEF2E30"/>
    <w:rsid w:val="4EF24828"/>
    <w:rsid w:val="4EFE7F59"/>
    <w:rsid w:val="4F2228F5"/>
    <w:rsid w:val="4F285975"/>
    <w:rsid w:val="4F2A7BF3"/>
    <w:rsid w:val="4F2E2624"/>
    <w:rsid w:val="4F413407"/>
    <w:rsid w:val="4F4E1077"/>
    <w:rsid w:val="4F546156"/>
    <w:rsid w:val="4F783D62"/>
    <w:rsid w:val="4F844A99"/>
    <w:rsid w:val="4F94662C"/>
    <w:rsid w:val="4FB00163"/>
    <w:rsid w:val="4FB208E7"/>
    <w:rsid w:val="4FBB673E"/>
    <w:rsid w:val="4FE30332"/>
    <w:rsid w:val="4FE70BB4"/>
    <w:rsid w:val="4FE73C01"/>
    <w:rsid w:val="4FE76D51"/>
    <w:rsid w:val="4FE87C31"/>
    <w:rsid w:val="4FEE2DDE"/>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55E9D"/>
    <w:rsid w:val="50560460"/>
    <w:rsid w:val="50574659"/>
    <w:rsid w:val="50601A5C"/>
    <w:rsid w:val="507E1B25"/>
    <w:rsid w:val="508E3B94"/>
    <w:rsid w:val="508E4492"/>
    <w:rsid w:val="5090223F"/>
    <w:rsid w:val="50924591"/>
    <w:rsid w:val="50A578DE"/>
    <w:rsid w:val="50A649F5"/>
    <w:rsid w:val="50AB5EB6"/>
    <w:rsid w:val="50AE6FE2"/>
    <w:rsid w:val="50B16618"/>
    <w:rsid w:val="50BB6306"/>
    <w:rsid w:val="50BF633A"/>
    <w:rsid w:val="50CD2E4B"/>
    <w:rsid w:val="50D87153"/>
    <w:rsid w:val="50DA0A9E"/>
    <w:rsid w:val="50ED21B8"/>
    <w:rsid w:val="50F31CB9"/>
    <w:rsid w:val="50F66F3D"/>
    <w:rsid w:val="50F8688B"/>
    <w:rsid w:val="50FC4E36"/>
    <w:rsid w:val="51002FFC"/>
    <w:rsid w:val="5105169B"/>
    <w:rsid w:val="51062881"/>
    <w:rsid w:val="510861B3"/>
    <w:rsid w:val="510956BD"/>
    <w:rsid w:val="5121766A"/>
    <w:rsid w:val="51230220"/>
    <w:rsid w:val="5131577E"/>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1F04514"/>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90763"/>
    <w:rsid w:val="52AC6512"/>
    <w:rsid w:val="52B24D9E"/>
    <w:rsid w:val="52B3363A"/>
    <w:rsid w:val="52C4763C"/>
    <w:rsid w:val="52C552C3"/>
    <w:rsid w:val="52CA3EAB"/>
    <w:rsid w:val="52CE7860"/>
    <w:rsid w:val="52D102DF"/>
    <w:rsid w:val="52DE691D"/>
    <w:rsid w:val="52E04D27"/>
    <w:rsid w:val="52ED0C96"/>
    <w:rsid w:val="53061721"/>
    <w:rsid w:val="530C0E6B"/>
    <w:rsid w:val="530C41A5"/>
    <w:rsid w:val="531C3F9F"/>
    <w:rsid w:val="532F77EA"/>
    <w:rsid w:val="53367575"/>
    <w:rsid w:val="533933AA"/>
    <w:rsid w:val="533B7F54"/>
    <w:rsid w:val="533D2D66"/>
    <w:rsid w:val="535009E1"/>
    <w:rsid w:val="53650168"/>
    <w:rsid w:val="53665DA9"/>
    <w:rsid w:val="536C2A29"/>
    <w:rsid w:val="536E571F"/>
    <w:rsid w:val="53723349"/>
    <w:rsid w:val="538859E4"/>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C1AD5"/>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9A60DB"/>
    <w:rsid w:val="54B06F11"/>
    <w:rsid w:val="54B56DF4"/>
    <w:rsid w:val="54B93943"/>
    <w:rsid w:val="54BE5578"/>
    <w:rsid w:val="54BF52B5"/>
    <w:rsid w:val="54D202CA"/>
    <w:rsid w:val="54D54E59"/>
    <w:rsid w:val="54DD41DB"/>
    <w:rsid w:val="54ED3D78"/>
    <w:rsid w:val="54F52BA3"/>
    <w:rsid w:val="54F54E04"/>
    <w:rsid w:val="54F84599"/>
    <w:rsid w:val="550B4121"/>
    <w:rsid w:val="550D5CFC"/>
    <w:rsid w:val="550F3357"/>
    <w:rsid w:val="55126CC5"/>
    <w:rsid w:val="55197997"/>
    <w:rsid w:val="551B756A"/>
    <w:rsid w:val="551B7F0A"/>
    <w:rsid w:val="551C3459"/>
    <w:rsid w:val="552A6B56"/>
    <w:rsid w:val="55314F13"/>
    <w:rsid w:val="5532385A"/>
    <w:rsid w:val="55381D42"/>
    <w:rsid w:val="55401B14"/>
    <w:rsid w:val="554748F2"/>
    <w:rsid w:val="554D414C"/>
    <w:rsid w:val="554E7279"/>
    <w:rsid w:val="55594FFB"/>
    <w:rsid w:val="555C56F3"/>
    <w:rsid w:val="55637CEB"/>
    <w:rsid w:val="55677DDA"/>
    <w:rsid w:val="55757FB9"/>
    <w:rsid w:val="55870A2C"/>
    <w:rsid w:val="55884237"/>
    <w:rsid w:val="558C7FAA"/>
    <w:rsid w:val="55900510"/>
    <w:rsid w:val="55947881"/>
    <w:rsid w:val="55A25EB7"/>
    <w:rsid w:val="55A82784"/>
    <w:rsid w:val="55A97512"/>
    <w:rsid w:val="55B63FD5"/>
    <w:rsid w:val="55C35A76"/>
    <w:rsid w:val="55CA2380"/>
    <w:rsid w:val="55D31DA2"/>
    <w:rsid w:val="55D40743"/>
    <w:rsid w:val="55DD6F2A"/>
    <w:rsid w:val="55E73480"/>
    <w:rsid w:val="55E8339E"/>
    <w:rsid w:val="55EB75D7"/>
    <w:rsid w:val="55F06771"/>
    <w:rsid w:val="55FC4090"/>
    <w:rsid w:val="560C022B"/>
    <w:rsid w:val="560D5F48"/>
    <w:rsid w:val="56106284"/>
    <w:rsid w:val="5632642A"/>
    <w:rsid w:val="56375B61"/>
    <w:rsid w:val="564944F4"/>
    <w:rsid w:val="564E5820"/>
    <w:rsid w:val="565104C5"/>
    <w:rsid w:val="56630C00"/>
    <w:rsid w:val="56655398"/>
    <w:rsid w:val="56721038"/>
    <w:rsid w:val="567739D2"/>
    <w:rsid w:val="56775A0A"/>
    <w:rsid w:val="567E16D6"/>
    <w:rsid w:val="5686536D"/>
    <w:rsid w:val="568B1DB1"/>
    <w:rsid w:val="56A55214"/>
    <w:rsid w:val="56A67978"/>
    <w:rsid w:val="56AC63C5"/>
    <w:rsid w:val="56AF0870"/>
    <w:rsid w:val="56C1700B"/>
    <w:rsid w:val="56C56513"/>
    <w:rsid w:val="56CF48FB"/>
    <w:rsid w:val="56D25618"/>
    <w:rsid w:val="56D7644B"/>
    <w:rsid w:val="56E373D5"/>
    <w:rsid w:val="56E81FA0"/>
    <w:rsid w:val="56E84A97"/>
    <w:rsid w:val="56F05010"/>
    <w:rsid w:val="56FB2A68"/>
    <w:rsid w:val="57011F3E"/>
    <w:rsid w:val="57050D7B"/>
    <w:rsid w:val="5705646B"/>
    <w:rsid w:val="57060649"/>
    <w:rsid w:val="570A5D64"/>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4947FA"/>
    <w:rsid w:val="58500F22"/>
    <w:rsid w:val="58587379"/>
    <w:rsid w:val="585D72B5"/>
    <w:rsid w:val="586D57A3"/>
    <w:rsid w:val="587917A0"/>
    <w:rsid w:val="587A4288"/>
    <w:rsid w:val="5880052B"/>
    <w:rsid w:val="588E3967"/>
    <w:rsid w:val="58AD27D9"/>
    <w:rsid w:val="58B169A2"/>
    <w:rsid w:val="58B5077A"/>
    <w:rsid w:val="58B9636C"/>
    <w:rsid w:val="58C37133"/>
    <w:rsid w:val="58C93046"/>
    <w:rsid w:val="58D36BCB"/>
    <w:rsid w:val="58D8157C"/>
    <w:rsid w:val="58E11166"/>
    <w:rsid w:val="58E6349C"/>
    <w:rsid w:val="58E9779C"/>
    <w:rsid w:val="58EF63EE"/>
    <w:rsid w:val="58F93B75"/>
    <w:rsid w:val="590317F0"/>
    <w:rsid w:val="59075000"/>
    <w:rsid w:val="590A108B"/>
    <w:rsid w:val="593559FD"/>
    <w:rsid w:val="594079B2"/>
    <w:rsid w:val="595B45EE"/>
    <w:rsid w:val="596A688E"/>
    <w:rsid w:val="5987482A"/>
    <w:rsid w:val="598A58C2"/>
    <w:rsid w:val="598C6F19"/>
    <w:rsid w:val="599A4837"/>
    <w:rsid w:val="599C49A8"/>
    <w:rsid w:val="59A36725"/>
    <w:rsid w:val="59B21BF9"/>
    <w:rsid w:val="59BB4EA3"/>
    <w:rsid w:val="59C13271"/>
    <w:rsid w:val="59D25546"/>
    <w:rsid w:val="59D50752"/>
    <w:rsid w:val="59E9525B"/>
    <w:rsid w:val="59EC4E90"/>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9B51AA"/>
    <w:rsid w:val="5AA75D85"/>
    <w:rsid w:val="5AB24660"/>
    <w:rsid w:val="5ABC50F4"/>
    <w:rsid w:val="5ACC4940"/>
    <w:rsid w:val="5ACD3CD2"/>
    <w:rsid w:val="5AD86A6D"/>
    <w:rsid w:val="5AE8708E"/>
    <w:rsid w:val="5AEA76B5"/>
    <w:rsid w:val="5AEB3074"/>
    <w:rsid w:val="5AEC14F6"/>
    <w:rsid w:val="5AF124A4"/>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9004A9"/>
    <w:rsid w:val="5B907C6C"/>
    <w:rsid w:val="5B9251EF"/>
    <w:rsid w:val="5BA34DCD"/>
    <w:rsid w:val="5BAB5BC4"/>
    <w:rsid w:val="5BB20B74"/>
    <w:rsid w:val="5BBE7F15"/>
    <w:rsid w:val="5BC677D8"/>
    <w:rsid w:val="5BD0669E"/>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C2CF4"/>
    <w:rsid w:val="5C6B1600"/>
    <w:rsid w:val="5C6E26BF"/>
    <w:rsid w:val="5C7D70D1"/>
    <w:rsid w:val="5C8542A8"/>
    <w:rsid w:val="5CA6294E"/>
    <w:rsid w:val="5CD928AC"/>
    <w:rsid w:val="5CDB3358"/>
    <w:rsid w:val="5CED4E0C"/>
    <w:rsid w:val="5CEE1DD1"/>
    <w:rsid w:val="5CFF09AB"/>
    <w:rsid w:val="5D034EE9"/>
    <w:rsid w:val="5D0366E8"/>
    <w:rsid w:val="5D08684C"/>
    <w:rsid w:val="5D0A06B6"/>
    <w:rsid w:val="5D1307E8"/>
    <w:rsid w:val="5D212A05"/>
    <w:rsid w:val="5D28584C"/>
    <w:rsid w:val="5D2C5A55"/>
    <w:rsid w:val="5D2F4802"/>
    <w:rsid w:val="5D32239D"/>
    <w:rsid w:val="5D3444E6"/>
    <w:rsid w:val="5D3F0BDF"/>
    <w:rsid w:val="5D5B7098"/>
    <w:rsid w:val="5D611B66"/>
    <w:rsid w:val="5D634782"/>
    <w:rsid w:val="5D654194"/>
    <w:rsid w:val="5D6E1B86"/>
    <w:rsid w:val="5D722912"/>
    <w:rsid w:val="5D725A84"/>
    <w:rsid w:val="5D8A2CFF"/>
    <w:rsid w:val="5D960EE9"/>
    <w:rsid w:val="5D9A0CFA"/>
    <w:rsid w:val="5D9B296A"/>
    <w:rsid w:val="5D9C251B"/>
    <w:rsid w:val="5DA53D05"/>
    <w:rsid w:val="5DB765B6"/>
    <w:rsid w:val="5DC33F68"/>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124A1"/>
    <w:rsid w:val="5E237029"/>
    <w:rsid w:val="5E3A3BD1"/>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754BC2"/>
    <w:rsid w:val="5F875C0C"/>
    <w:rsid w:val="5F8A0701"/>
    <w:rsid w:val="5F8F0B9E"/>
    <w:rsid w:val="5F8F267A"/>
    <w:rsid w:val="5FAB7F08"/>
    <w:rsid w:val="5FB7185B"/>
    <w:rsid w:val="5FB94C48"/>
    <w:rsid w:val="5FDE327E"/>
    <w:rsid w:val="5FF37587"/>
    <w:rsid w:val="5FF85D1E"/>
    <w:rsid w:val="5FFE57B7"/>
    <w:rsid w:val="600450AE"/>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02979"/>
    <w:rsid w:val="607A0897"/>
    <w:rsid w:val="607C3753"/>
    <w:rsid w:val="607F6EAB"/>
    <w:rsid w:val="608B2C8F"/>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950B7"/>
    <w:rsid w:val="61421EFD"/>
    <w:rsid w:val="614F6F7E"/>
    <w:rsid w:val="615C5041"/>
    <w:rsid w:val="61640524"/>
    <w:rsid w:val="616522DF"/>
    <w:rsid w:val="616B7058"/>
    <w:rsid w:val="617A6EE7"/>
    <w:rsid w:val="617B616B"/>
    <w:rsid w:val="6182260C"/>
    <w:rsid w:val="61867753"/>
    <w:rsid w:val="6190565E"/>
    <w:rsid w:val="61AA2608"/>
    <w:rsid w:val="61AD68BC"/>
    <w:rsid w:val="61AE786E"/>
    <w:rsid w:val="61B173D2"/>
    <w:rsid w:val="61BC4BE1"/>
    <w:rsid w:val="61D43A2B"/>
    <w:rsid w:val="61E34474"/>
    <w:rsid w:val="61ED6D6A"/>
    <w:rsid w:val="61FF316E"/>
    <w:rsid w:val="621253B0"/>
    <w:rsid w:val="621542CB"/>
    <w:rsid w:val="624263A2"/>
    <w:rsid w:val="625272C3"/>
    <w:rsid w:val="62715337"/>
    <w:rsid w:val="6280204D"/>
    <w:rsid w:val="6290769B"/>
    <w:rsid w:val="62943D08"/>
    <w:rsid w:val="629718F1"/>
    <w:rsid w:val="62A05735"/>
    <w:rsid w:val="62A411F8"/>
    <w:rsid w:val="62A81A26"/>
    <w:rsid w:val="62BA7A46"/>
    <w:rsid w:val="62C376AC"/>
    <w:rsid w:val="62CE13CB"/>
    <w:rsid w:val="62CF1100"/>
    <w:rsid w:val="62D2197B"/>
    <w:rsid w:val="62DB028F"/>
    <w:rsid w:val="62EE4623"/>
    <w:rsid w:val="62F6011A"/>
    <w:rsid w:val="62FD2BA9"/>
    <w:rsid w:val="62FF7997"/>
    <w:rsid w:val="631010DD"/>
    <w:rsid w:val="6327422B"/>
    <w:rsid w:val="6328597C"/>
    <w:rsid w:val="63297E59"/>
    <w:rsid w:val="632C2A14"/>
    <w:rsid w:val="633B249F"/>
    <w:rsid w:val="633D1842"/>
    <w:rsid w:val="634E66C0"/>
    <w:rsid w:val="635123F0"/>
    <w:rsid w:val="63552D76"/>
    <w:rsid w:val="6359778B"/>
    <w:rsid w:val="635B63E3"/>
    <w:rsid w:val="636D7473"/>
    <w:rsid w:val="63771D13"/>
    <w:rsid w:val="63882543"/>
    <w:rsid w:val="638B726E"/>
    <w:rsid w:val="638C3395"/>
    <w:rsid w:val="63B37325"/>
    <w:rsid w:val="63B82D87"/>
    <w:rsid w:val="63BA3154"/>
    <w:rsid w:val="63CA2E8B"/>
    <w:rsid w:val="63D4153E"/>
    <w:rsid w:val="63DA0FA3"/>
    <w:rsid w:val="63DC7755"/>
    <w:rsid w:val="63DD2326"/>
    <w:rsid w:val="63DE4EC1"/>
    <w:rsid w:val="63E43D21"/>
    <w:rsid w:val="63F47D2A"/>
    <w:rsid w:val="63F6335E"/>
    <w:rsid w:val="63FE2D33"/>
    <w:rsid w:val="63FF116D"/>
    <w:rsid w:val="64046427"/>
    <w:rsid w:val="642369FC"/>
    <w:rsid w:val="64264A79"/>
    <w:rsid w:val="642A38B2"/>
    <w:rsid w:val="64304E58"/>
    <w:rsid w:val="64311867"/>
    <w:rsid w:val="64391ED3"/>
    <w:rsid w:val="6445632E"/>
    <w:rsid w:val="645C5A2D"/>
    <w:rsid w:val="64742B63"/>
    <w:rsid w:val="647E661E"/>
    <w:rsid w:val="648939AA"/>
    <w:rsid w:val="648C635C"/>
    <w:rsid w:val="649B1AC2"/>
    <w:rsid w:val="64A7467B"/>
    <w:rsid w:val="64B53322"/>
    <w:rsid w:val="64C61AF8"/>
    <w:rsid w:val="64C86505"/>
    <w:rsid w:val="64D04974"/>
    <w:rsid w:val="64FB4412"/>
    <w:rsid w:val="64FE700F"/>
    <w:rsid w:val="6500327F"/>
    <w:rsid w:val="6506609B"/>
    <w:rsid w:val="65083216"/>
    <w:rsid w:val="653311C8"/>
    <w:rsid w:val="65460728"/>
    <w:rsid w:val="654835A8"/>
    <w:rsid w:val="657C5174"/>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965DF"/>
    <w:rsid w:val="66052F43"/>
    <w:rsid w:val="66065483"/>
    <w:rsid w:val="6609487E"/>
    <w:rsid w:val="661D25CE"/>
    <w:rsid w:val="66206CF2"/>
    <w:rsid w:val="66265846"/>
    <w:rsid w:val="66287C9C"/>
    <w:rsid w:val="662E4097"/>
    <w:rsid w:val="664805B8"/>
    <w:rsid w:val="665572E9"/>
    <w:rsid w:val="665A318B"/>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9681C"/>
    <w:rsid w:val="671B1631"/>
    <w:rsid w:val="67302DC3"/>
    <w:rsid w:val="67316C6B"/>
    <w:rsid w:val="674318B2"/>
    <w:rsid w:val="674D4B22"/>
    <w:rsid w:val="67570422"/>
    <w:rsid w:val="675D31B4"/>
    <w:rsid w:val="676D2F4B"/>
    <w:rsid w:val="677A17F7"/>
    <w:rsid w:val="677A266A"/>
    <w:rsid w:val="677C1A81"/>
    <w:rsid w:val="677E7198"/>
    <w:rsid w:val="678A426A"/>
    <w:rsid w:val="67914BE1"/>
    <w:rsid w:val="67A01F16"/>
    <w:rsid w:val="67A2026E"/>
    <w:rsid w:val="67B163D1"/>
    <w:rsid w:val="67DB7126"/>
    <w:rsid w:val="67DE0B68"/>
    <w:rsid w:val="67F45538"/>
    <w:rsid w:val="67F67092"/>
    <w:rsid w:val="68005932"/>
    <w:rsid w:val="680239EB"/>
    <w:rsid w:val="680722DA"/>
    <w:rsid w:val="68075891"/>
    <w:rsid w:val="68096B99"/>
    <w:rsid w:val="681C6C95"/>
    <w:rsid w:val="682211D1"/>
    <w:rsid w:val="6842274F"/>
    <w:rsid w:val="685C6395"/>
    <w:rsid w:val="685D1704"/>
    <w:rsid w:val="686318DD"/>
    <w:rsid w:val="68635145"/>
    <w:rsid w:val="68641D36"/>
    <w:rsid w:val="687914A4"/>
    <w:rsid w:val="687F607E"/>
    <w:rsid w:val="6887281F"/>
    <w:rsid w:val="689565AD"/>
    <w:rsid w:val="689A41FB"/>
    <w:rsid w:val="689E57F0"/>
    <w:rsid w:val="68A34C5C"/>
    <w:rsid w:val="68CA6EAF"/>
    <w:rsid w:val="68D507C6"/>
    <w:rsid w:val="68E24981"/>
    <w:rsid w:val="68E35159"/>
    <w:rsid w:val="68E62C62"/>
    <w:rsid w:val="68ED60A5"/>
    <w:rsid w:val="68FC54E3"/>
    <w:rsid w:val="68FF75E0"/>
    <w:rsid w:val="69123F86"/>
    <w:rsid w:val="691C1D81"/>
    <w:rsid w:val="691C3525"/>
    <w:rsid w:val="69216128"/>
    <w:rsid w:val="69280874"/>
    <w:rsid w:val="692E74C3"/>
    <w:rsid w:val="69307671"/>
    <w:rsid w:val="693A4263"/>
    <w:rsid w:val="695D6B21"/>
    <w:rsid w:val="69611EE7"/>
    <w:rsid w:val="69621F5B"/>
    <w:rsid w:val="696C708E"/>
    <w:rsid w:val="696F4D5D"/>
    <w:rsid w:val="69850877"/>
    <w:rsid w:val="698C13C5"/>
    <w:rsid w:val="69BE5AE8"/>
    <w:rsid w:val="69C918A5"/>
    <w:rsid w:val="69CF57FD"/>
    <w:rsid w:val="69D20957"/>
    <w:rsid w:val="69EB1E1E"/>
    <w:rsid w:val="69F0745A"/>
    <w:rsid w:val="6A0D20F2"/>
    <w:rsid w:val="6A1757B7"/>
    <w:rsid w:val="6A1D59EC"/>
    <w:rsid w:val="6A247F72"/>
    <w:rsid w:val="6A274610"/>
    <w:rsid w:val="6A295698"/>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679A4"/>
    <w:rsid w:val="6AED1BE8"/>
    <w:rsid w:val="6AF00853"/>
    <w:rsid w:val="6AF317C6"/>
    <w:rsid w:val="6B004C6B"/>
    <w:rsid w:val="6B09696B"/>
    <w:rsid w:val="6B0B7D5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16BE5"/>
    <w:rsid w:val="6BA6663C"/>
    <w:rsid w:val="6BA9194F"/>
    <w:rsid w:val="6BC76EBF"/>
    <w:rsid w:val="6BCA7437"/>
    <w:rsid w:val="6BD806C1"/>
    <w:rsid w:val="6BE727F5"/>
    <w:rsid w:val="6C001608"/>
    <w:rsid w:val="6C03749E"/>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E63215"/>
    <w:rsid w:val="6CE93D5A"/>
    <w:rsid w:val="6CFE035F"/>
    <w:rsid w:val="6D056EA6"/>
    <w:rsid w:val="6D1766A9"/>
    <w:rsid w:val="6D1E112C"/>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C1260"/>
    <w:rsid w:val="6E3E5591"/>
    <w:rsid w:val="6E4215C6"/>
    <w:rsid w:val="6E4B0158"/>
    <w:rsid w:val="6E4D611F"/>
    <w:rsid w:val="6E555D19"/>
    <w:rsid w:val="6E567C9E"/>
    <w:rsid w:val="6E635028"/>
    <w:rsid w:val="6E636A71"/>
    <w:rsid w:val="6E685B0A"/>
    <w:rsid w:val="6E73404A"/>
    <w:rsid w:val="6E7355AA"/>
    <w:rsid w:val="6E7D300B"/>
    <w:rsid w:val="6E7D343C"/>
    <w:rsid w:val="6E823708"/>
    <w:rsid w:val="6E920B5B"/>
    <w:rsid w:val="6E990B16"/>
    <w:rsid w:val="6E995AB6"/>
    <w:rsid w:val="6EB169D3"/>
    <w:rsid w:val="6EB21539"/>
    <w:rsid w:val="6EB829B1"/>
    <w:rsid w:val="6EB978A9"/>
    <w:rsid w:val="6EBF0F03"/>
    <w:rsid w:val="6EC52813"/>
    <w:rsid w:val="6ECC3A24"/>
    <w:rsid w:val="6ED86D3E"/>
    <w:rsid w:val="6EE9744F"/>
    <w:rsid w:val="6EEC3F7C"/>
    <w:rsid w:val="6EF3602C"/>
    <w:rsid w:val="6EFE1485"/>
    <w:rsid w:val="6F0247B3"/>
    <w:rsid w:val="6F031F8E"/>
    <w:rsid w:val="6F0D382C"/>
    <w:rsid w:val="6F2632E8"/>
    <w:rsid w:val="6F30363A"/>
    <w:rsid w:val="6F3316E5"/>
    <w:rsid w:val="6F3F40F9"/>
    <w:rsid w:val="6F40758E"/>
    <w:rsid w:val="6F45289E"/>
    <w:rsid w:val="6F5E0205"/>
    <w:rsid w:val="6F632569"/>
    <w:rsid w:val="6F6F14E1"/>
    <w:rsid w:val="6F757C41"/>
    <w:rsid w:val="6F76254B"/>
    <w:rsid w:val="6F8040F4"/>
    <w:rsid w:val="6F877B03"/>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B6F43"/>
    <w:rsid w:val="7032079E"/>
    <w:rsid w:val="703C186A"/>
    <w:rsid w:val="704C34F0"/>
    <w:rsid w:val="70570007"/>
    <w:rsid w:val="705843B4"/>
    <w:rsid w:val="70655A58"/>
    <w:rsid w:val="706A37E5"/>
    <w:rsid w:val="70754986"/>
    <w:rsid w:val="70822BAD"/>
    <w:rsid w:val="708746BC"/>
    <w:rsid w:val="708F7F54"/>
    <w:rsid w:val="709E3D85"/>
    <w:rsid w:val="70A36A35"/>
    <w:rsid w:val="70A708B1"/>
    <w:rsid w:val="70A97192"/>
    <w:rsid w:val="70AC660B"/>
    <w:rsid w:val="70B17138"/>
    <w:rsid w:val="70BB2EF0"/>
    <w:rsid w:val="70BC2801"/>
    <w:rsid w:val="70C6646C"/>
    <w:rsid w:val="70D56236"/>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BE52EF"/>
    <w:rsid w:val="71C7540C"/>
    <w:rsid w:val="71CD57C4"/>
    <w:rsid w:val="71D66F51"/>
    <w:rsid w:val="71F64A63"/>
    <w:rsid w:val="71F870B8"/>
    <w:rsid w:val="72021233"/>
    <w:rsid w:val="720B2A1D"/>
    <w:rsid w:val="72197AB8"/>
    <w:rsid w:val="72502F9F"/>
    <w:rsid w:val="72514D94"/>
    <w:rsid w:val="7251515C"/>
    <w:rsid w:val="725817D3"/>
    <w:rsid w:val="726E6AD4"/>
    <w:rsid w:val="7275156C"/>
    <w:rsid w:val="727C422C"/>
    <w:rsid w:val="7288329F"/>
    <w:rsid w:val="728C297A"/>
    <w:rsid w:val="728E71EE"/>
    <w:rsid w:val="7292045A"/>
    <w:rsid w:val="72974DBE"/>
    <w:rsid w:val="72981C37"/>
    <w:rsid w:val="72983FF8"/>
    <w:rsid w:val="72985E1E"/>
    <w:rsid w:val="72A20C20"/>
    <w:rsid w:val="72AC5E95"/>
    <w:rsid w:val="72B76954"/>
    <w:rsid w:val="72C13ED7"/>
    <w:rsid w:val="72CF1AC7"/>
    <w:rsid w:val="72DC0F93"/>
    <w:rsid w:val="72E42AFA"/>
    <w:rsid w:val="72E85578"/>
    <w:rsid w:val="72EB4466"/>
    <w:rsid w:val="72FD426E"/>
    <w:rsid w:val="73043CFC"/>
    <w:rsid w:val="7317244F"/>
    <w:rsid w:val="732B736C"/>
    <w:rsid w:val="732C334F"/>
    <w:rsid w:val="733F3B6A"/>
    <w:rsid w:val="734F0C79"/>
    <w:rsid w:val="734F4185"/>
    <w:rsid w:val="73520620"/>
    <w:rsid w:val="73536078"/>
    <w:rsid w:val="73571DD1"/>
    <w:rsid w:val="7363274A"/>
    <w:rsid w:val="73691A4A"/>
    <w:rsid w:val="7371152B"/>
    <w:rsid w:val="73777B4D"/>
    <w:rsid w:val="738A6895"/>
    <w:rsid w:val="73917325"/>
    <w:rsid w:val="7395427D"/>
    <w:rsid w:val="73A77CE4"/>
    <w:rsid w:val="73AE5485"/>
    <w:rsid w:val="73B1087F"/>
    <w:rsid w:val="73BC7089"/>
    <w:rsid w:val="73BE7067"/>
    <w:rsid w:val="73C172C1"/>
    <w:rsid w:val="73C50B73"/>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477CFA"/>
    <w:rsid w:val="756F29D2"/>
    <w:rsid w:val="75752B04"/>
    <w:rsid w:val="757A08FE"/>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30571"/>
    <w:rsid w:val="760A4340"/>
    <w:rsid w:val="76123E1D"/>
    <w:rsid w:val="761270F3"/>
    <w:rsid w:val="761F0951"/>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0D0CB2"/>
    <w:rsid w:val="770E3B30"/>
    <w:rsid w:val="771A04D1"/>
    <w:rsid w:val="771B67DF"/>
    <w:rsid w:val="771E64D7"/>
    <w:rsid w:val="77272CAB"/>
    <w:rsid w:val="7738222F"/>
    <w:rsid w:val="77451578"/>
    <w:rsid w:val="77576666"/>
    <w:rsid w:val="77636E18"/>
    <w:rsid w:val="77692EA3"/>
    <w:rsid w:val="77695538"/>
    <w:rsid w:val="7773758E"/>
    <w:rsid w:val="777672AD"/>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21E1B"/>
    <w:rsid w:val="77CE7C36"/>
    <w:rsid w:val="77E66E3C"/>
    <w:rsid w:val="77E84D6F"/>
    <w:rsid w:val="77F3789A"/>
    <w:rsid w:val="77F6611B"/>
    <w:rsid w:val="77F71324"/>
    <w:rsid w:val="780326B9"/>
    <w:rsid w:val="780332E5"/>
    <w:rsid w:val="7804698A"/>
    <w:rsid w:val="780C4E31"/>
    <w:rsid w:val="7833711D"/>
    <w:rsid w:val="7834483F"/>
    <w:rsid w:val="78460D63"/>
    <w:rsid w:val="78481B4A"/>
    <w:rsid w:val="78497C2E"/>
    <w:rsid w:val="78502D35"/>
    <w:rsid w:val="7854087B"/>
    <w:rsid w:val="785A5D97"/>
    <w:rsid w:val="786A4053"/>
    <w:rsid w:val="78717849"/>
    <w:rsid w:val="787724B9"/>
    <w:rsid w:val="78782A0D"/>
    <w:rsid w:val="78785A2F"/>
    <w:rsid w:val="787B5060"/>
    <w:rsid w:val="788720E7"/>
    <w:rsid w:val="788C639F"/>
    <w:rsid w:val="78A90B04"/>
    <w:rsid w:val="78C53485"/>
    <w:rsid w:val="78C6693F"/>
    <w:rsid w:val="78C76A01"/>
    <w:rsid w:val="78C9386A"/>
    <w:rsid w:val="78DA30DC"/>
    <w:rsid w:val="78EC45D8"/>
    <w:rsid w:val="78EC6DF0"/>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C67F4"/>
    <w:rsid w:val="7A6E4BF5"/>
    <w:rsid w:val="7A7F4A1E"/>
    <w:rsid w:val="7A851D5D"/>
    <w:rsid w:val="7A8A2267"/>
    <w:rsid w:val="7AB53126"/>
    <w:rsid w:val="7AB76FE8"/>
    <w:rsid w:val="7AB8122B"/>
    <w:rsid w:val="7ACC526F"/>
    <w:rsid w:val="7AD268E2"/>
    <w:rsid w:val="7ADC0B33"/>
    <w:rsid w:val="7AE14C19"/>
    <w:rsid w:val="7AEA174E"/>
    <w:rsid w:val="7B1E18F8"/>
    <w:rsid w:val="7B274176"/>
    <w:rsid w:val="7B3057E4"/>
    <w:rsid w:val="7B306163"/>
    <w:rsid w:val="7B364C38"/>
    <w:rsid w:val="7B393D17"/>
    <w:rsid w:val="7B3A65AF"/>
    <w:rsid w:val="7B3E17AA"/>
    <w:rsid w:val="7B401C79"/>
    <w:rsid w:val="7B4175C8"/>
    <w:rsid w:val="7B440ED6"/>
    <w:rsid w:val="7B4678D7"/>
    <w:rsid w:val="7B4B2A93"/>
    <w:rsid w:val="7B516F3E"/>
    <w:rsid w:val="7B527515"/>
    <w:rsid w:val="7B78553B"/>
    <w:rsid w:val="7B890A24"/>
    <w:rsid w:val="7B8A4A8A"/>
    <w:rsid w:val="7BAA485C"/>
    <w:rsid w:val="7BAD1591"/>
    <w:rsid w:val="7BCD64C2"/>
    <w:rsid w:val="7BD3716B"/>
    <w:rsid w:val="7BEC2711"/>
    <w:rsid w:val="7BF55850"/>
    <w:rsid w:val="7C084E98"/>
    <w:rsid w:val="7C1054B7"/>
    <w:rsid w:val="7C131E53"/>
    <w:rsid w:val="7C261982"/>
    <w:rsid w:val="7C26369C"/>
    <w:rsid w:val="7C292845"/>
    <w:rsid w:val="7C2A465C"/>
    <w:rsid w:val="7C2E06D8"/>
    <w:rsid w:val="7C305879"/>
    <w:rsid w:val="7C34521A"/>
    <w:rsid w:val="7C3623E2"/>
    <w:rsid w:val="7C45067D"/>
    <w:rsid w:val="7C4A2BD1"/>
    <w:rsid w:val="7C4C0053"/>
    <w:rsid w:val="7C576C70"/>
    <w:rsid w:val="7C613982"/>
    <w:rsid w:val="7C6E4349"/>
    <w:rsid w:val="7C77043F"/>
    <w:rsid w:val="7C8A7CDC"/>
    <w:rsid w:val="7C972F3D"/>
    <w:rsid w:val="7C974C68"/>
    <w:rsid w:val="7C9E5A24"/>
    <w:rsid w:val="7CA3515D"/>
    <w:rsid w:val="7CA745A1"/>
    <w:rsid w:val="7CAC0540"/>
    <w:rsid w:val="7CAF4DCB"/>
    <w:rsid w:val="7CB4006B"/>
    <w:rsid w:val="7CB93ABB"/>
    <w:rsid w:val="7CC475DB"/>
    <w:rsid w:val="7CCF7C5B"/>
    <w:rsid w:val="7CD9736C"/>
    <w:rsid w:val="7CDE3831"/>
    <w:rsid w:val="7CE656F0"/>
    <w:rsid w:val="7CED34FF"/>
    <w:rsid w:val="7CEE5458"/>
    <w:rsid w:val="7CF26588"/>
    <w:rsid w:val="7CF565D7"/>
    <w:rsid w:val="7CF67DDB"/>
    <w:rsid w:val="7CFA3A46"/>
    <w:rsid w:val="7D0F5720"/>
    <w:rsid w:val="7D24652E"/>
    <w:rsid w:val="7D2561FD"/>
    <w:rsid w:val="7D2E198F"/>
    <w:rsid w:val="7D3B3737"/>
    <w:rsid w:val="7D3D73AF"/>
    <w:rsid w:val="7D3F6E5D"/>
    <w:rsid w:val="7D4E5B7E"/>
    <w:rsid w:val="7D514310"/>
    <w:rsid w:val="7D5B27C9"/>
    <w:rsid w:val="7D62117D"/>
    <w:rsid w:val="7D6B7F02"/>
    <w:rsid w:val="7D834A16"/>
    <w:rsid w:val="7D880102"/>
    <w:rsid w:val="7D925D26"/>
    <w:rsid w:val="7D9D0A97"/>
    <w:rsid w:val="7D9D438F"/>
    <w:rsid w:val="7D9F1099"/>
    <w:rsid w:val="7DA514D2"/>
    <w:rsid w:val="7DAE6BE3"/>
    <w:rsid w:val="7DCD1A27"/>
    <w:rsid w:val="7DCD4EB5"/>
    <w:rsid w:val="7DDF20BC"/>
    <w:rsid w:val="7E090313"/>
    <w:rsid w:val="7E3E0FEC"/>
    <w:rsid w:val="7E3E1EF2"/>
    <w:rsid w:val="7E566EA2"/>
    <w:rsid w:val="7E5678AC"/>
    <w:rsid w:val="7E5B15D2"/>
    <w:rsid w:val="7E5B76B4"/>
    <w:rsid w:val="7E5C1ABA"/>
    <w:rsid w:val="7E61281D"/>
    <w:rsid w:val="7E622778"/>
    <w:rsid w:val="7E756346"/>
    <w:rsid w:val="7E85174A"/>
    <w:rsid w:val="7E8B68B9"/>
    <w:rsid w:val="7E9205F1"/>
    <w:rsid w:val="7EA77314"/>
    <w:rsid w:val="7EAA7C26"/>
    <w:rsid w:val="7EAF1FAA"/>
    <w:rsid w:val="7EB4653A"/>
    <w:rsid w:val="7EC478B9"/>
    <w:rsid w:val="7ECA4601"/>
    <w:rsid w:val="7EDC22AD"/>
    <w:rsid w:val="7EDE4C34"/>
    <w:rsid w:val="7EDF1D2F"/>
    <w:rsid w:val="7EE34086"/>
    <w:rsid w:val="7EE55F89"/>
    <w:rsid w:val="7EEB5719"/>
    <w:rsid w:val="7EF215E8"/>
    <w:rsid w:val="7EF525E1"/>
    <w:rsid w:val="7EF74FC9"/>
    <w:rsid w:val="7F000B6A"/>
    <w:rsid w:val="7F022EBD"/>
    <w:rsid w:val="7F0B5962"/>
    <w:rsid w:val="7F0C2035"/>
    <w:rsid w:val="7F0F0FAF"/>
    <w:rsid w:val="7F0F7992"/>
    <w:rsid w:val="7F1B0865"/>
    <w:rsid w:val="7F271AA3"/>
    <w:rsid w:val="7F354370"/>
    <w:rsid w:val="7F542B37"/>
    <w:rsid w:val="7F6A77AB"/>
    <w:rsid w:val="7F6B2248"/>
    <w:rsid w:val="7F6F24AA"/>
    <w:rsid w:val="7F7D7A8E"/>
    <w:rsid w:val="7F872588"/>
    <w:rsid w:val="7F8725BA"/>
    <w:rsid w:val="7F8C6A8F"/>
    <w:rsid w:val="7F92351B"/>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 w:type="character" w:customStyle="1" w:styleId="77">
    <w:name w:val="via3"/>
    <w:basedOn w:val="24"/>
    <w:qFormat/>
    <w:uiPriority w:val="0"/>
    <w:rPr>
      <w:color w:val="959595"/>
    </w:rPr>
  </w:style>
  <w:style w:type="character" w:customStyle="1" w:styleId="78">
    <w:name w:val="def3"/>
    <w:basedOn w:val="24"/>
    <w:qFormat/>
    <w:uiPriority w:val="0"/>
    <w:rPr>
      <w:color w:val="313131"/>
    </w:rPr>
  </w:style>
  <w:style w:type="character" w:customStyle="1" w:styleId="79">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2023-05-15T12:46:29Z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